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left"/>
        <w:tblInd w:w="-411.0" w:type="dxa"/>
        <w:tblBorders>
          <w:top w:color="000000" w:space="0" w:sz="4" w:val="single"/>
          <w:left w:color="000000" w:space="0" w:sz="4" w:val="single"/>
          <w:bottom w:color="000000" w:space="0" w:sz="4" w:val="dotted"/>
          <w:right w:color="000000" w:space="0" w:sz="4" w:val="single"/>
          <w:insideH w:color="000000" w:space="0" w:sz="4" w:val="dotted"/>
          <w:insideV w:color="000000" w:space="0" w:sz="4" w:val="single"/>
        </w:tblBorders>
        <w:tblLayout w:type="fixed"/>
        <w:tblLook w:val="0000"/>
      </w:tblPr>
      <w:tblGrid>
        <w:gridCol w:w="731"/>
        <w:gridCol w:w="45"/>
        <w:gridCol w:w="8722"/>
        <w:tblGridChange w:id="0">
          <w:tblGrid>
            <w:gridCol w:w="731"/>
            <w:gridCol w:w="45"/>
            <w:gridCol w:w="8722"/>
          </w:tblGrid>
        </w:tblGridChange>
      </w:tblGrid>
      <w:tr>
        <w:trPr>
          <w:cantSplit w:val="0"/>
          <w:trHeight w:val="286" w:hRule="atLeast"/>
          <w:tblHeader w:val="0"/>
        </w:trPr>
        <w:tc>
          <w:tcPr>
            <w:gridSpan w:val="3"/>
            <w:tcBorders>
              <w:top w:color="000000" w:space="0" w:sz="4" w:val="single"/>
              <w:left w:color="000000" w:space="0" w:sz="4" w:val="single"/>
              <w:bottom w:color="000000" w:space="0" w:sz="4" w:val="dotted"/>
              <w:right w:color="000000" w:space="0" w:sz="4" w:val="single"/>
            </w:tcBorders>
            <w:shd w:fill="a6a6a6"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5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Instruções gerais</w:t>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Este formulário corresponde ao exigido lei 14.133 em seu artigo 18, inciso I e pela IN SEGES N° 58 de 2022 e se destina a facilitar a elaboração do ETP para posterior transposição ao sistema ETP Digital;</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Os itens em Negrito devem, obrigatoriamente, ser preenchidos. Os demais (em azul) são facultativos, devendo conter a justificativa para o não preenchimento no próprio item;</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Substituir as instruções de cada item pela resposta correspondente;</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ETP deverá estar alinhado com o Plano de Contratações Anual e com o Plano Diretor de Logística Sustentável, além de outros instrumentos de planejamento da Administração.</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ETP será elaborado conjuntamente por servidores da área técnica e requisitante ou, quando houver, pela equipe de planejamento da contratação.</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Este documento NÃO SUBSTITUI O PREENCHIMENTO DO ETP DIGITAL;</w:t>
            </w:r>
          </w:p>
        </w:tc>
      </w:tr>
      <w:tr>
        <w:trPr>
          <w:cantSplit w:val="0"/>
          <w:trHeight w:val="286" w:hRule="atLeast"/>
          <w:tblHeader w:val="0"/>
        </w:trPr>
        <w:tc>
          <w:tcPr>
            <w:gridSpan w:val="2"/>
            <w:tcBorders>
              <w:top w:color="000000" w:space="0" w:sz="4" w:val="single"/>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shd w:fill="a6a6a6"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51"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OBJETO DA CONTRATAÇÃO</w:t>
            </w:r>
          </w:p>
        </w:tc>
      </w:tr>
      <w:tr>
        <w:trPr>
          <w:cantSplit w:val="0"/>
          <w:trHeight w:val="186"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bottom"/>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70" w:right="10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Inscrição no curso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ser realizado na cidade de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período de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oferecido pela empresa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inscrita no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CNPJ n°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o(s) servidor(es)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CPF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SIAPE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@ufca.edu.br, lotado no(a)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70"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tcBorders>
              <w:top w:color="000000" w:space="0" w:sz="4" w:val="dotted"/>
              <w:left w:color="000000" w:space="0" w:sz="4" w:val="dotted"/>
              <w:bottom w:color="000000" w:space="0" w:sz="4" w:val="dotted"/>
              <w:right w:color="000000" w:space="0" w:sz="4" w:val="single"/>
            </w:tcBorders>
            <w:shd w:fill="a6a6a6"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NECESSIDADE DA CONTRATAÇÃO </w:t>
            </w:r>
            <w:r w:rsidDel="00000000" w:rsidR="00000000" w:rsidRPr="00000000">
              <w:rPr>
                <w:rtl w:val="0"/>
              </w:rPr>
            </w:r>
          </w:p>
        </w:tc>
      </w:tr>
      <w:tr>
        <w:trPr>
          <w:cantSplit w:val="0"/>
          <w:trHeight w:val="70"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righ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36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Descrição da necessidade da contratação, considerado o problema a ser resolvido sob a perspectiva do interesse público (art. 9°, inciso I da IN 58/2022).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36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Consagrando a observância do princípio da licitação como regra imperiosa à qual devem sujeitar-se os entes e órgãos públicos, e entendendo que o texto legal também admite, em caráter de excepcionalidade, fugas a essa regra através das hipóteses de dispensa e inexigibilidade de licitação, pautamos a nossa demanda nas hipóteses de inexigibilidade com base na Lei Federal nº 14.133/2021, em seu art. 74. O que se depreende do inciso III do artigo 74 da Lei n° 14.133/2021 é que “É inexigível a licitação quando houver inviabilidade de competição: [...]: III - contratação dos seguintes serviços técnicos especializados de natureza predominantemente intelectual com profissionais ou empresas de notória especialização: [...] f) treinamento e aperfeiçoamento de pessoal.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31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artigo 6, a Lei classifica “serviços técnicos profissionais especializados”, a saber: são estudos técnicos, planejamentos, projetos básicos e projetos executivos;</w:t>
            </w:r>
            <w:bookmarkStart w:colFirst="0" w:colLast="0" w:name="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pareceres, perícias e avaliações em geral;</w:t>
            </w:r>
            <w:bookmarkStart w:colFirst="0" w:colLast="0" w:name="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assessorias e consultorias técnicas e auditorias financeiras e tributárias;</w:t>
            </w:r>
            <w:bookmarkStart w:colFirst="0" w:colLast="0" w:name="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fiscalização, supervisão e gerenciamento de obras e serviços;</w:t>
            </w:r>
            <w:bookmarkStart w:colFirst="0" w:colLast="0" w:name="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patrocínio ou defesa de causas judiciais e administrativas;</w:t>
            </w:r>
            <w:bookmarkStart w:colFirst="0" w:colLast="0" w:name="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treinamento e aperfeiçoamento de pessoal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bookmarkStart w:colFirst="0" w:colLast="0" w:name="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restauração de obras de arte e de bens de valor histórico.</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31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toda sorte, conclui-se que, na Lei 14.133/21, os serviços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devem ser de natureza predominantemente intelectual e os profissionais e empresas contratadas devem ser de notória especialização, requisitos estes cumulativos para ensejar a inexigibilidade de licitação.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Ao se falar em natureza predominantemente intelectual, a nova Lei de Licitações exige dos serviços técnicos especializados um patamar próprio, que os diferencie de quaisquer outras atividades que não demandam, para a sua fiel execução, predominância do componente intelectual. Ou seja, entende-se como um serviço com uma complexidade tal que o individualiza, tornando-o diferente dos da mesma espécie e exigindo, para a sua execução, peculiar expertise de um profissional ou empresa de especial qualificação.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seu trabalho é essencial e indiscutivelmente o mais adequado à plena satisfação do objeto do contrato.</w:t>
            </w:r>
          </w:p>
        </w:tc>
      </w:tr>
      <w:tr>
        <w:trPr>
          <w:cantSplit w:val="0"/>
          <w:trHeight w:val="395" w:hRule="atLeast"/>
          <w:tblHeader w:val="0"/>
        </w:trPr>
        <w:tc>
          <w:tcPr>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2.</w:t>
            </w:r>
          </w:p>
        </w:tc>
        <w:tc>
          <w:tcPr>
            <w:gridSpan w:val="2"/>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REQUISITOS NECESSÁRIOS PARA A ESCOLHA DA SOLUÇÃO</w:t>
            </w:r>
          </w:p>
        </w:tc>
      </w:tr>
      <w:tr>
        <w:trPr>
          <w:cantSplit w:val="0"/>
          <w:trHeight w:val="359" w:hRule="atLeast"/>
          <w:tblHeader w:val="0"/>
        </w:trPr>
        <w:tc>
          <w:tcPr>
            <w:gridSpan w:val="2"/>
            <w:tcBorders>
              <w:top w:color="000000" w:space="0" w:sz="4" w:val="dotted"/>
              <w:left w:color="000000" w:space="0" w:sz="4" w:val="single"/>
              <w:right w:color="000000" w:space="0" w:sz="4" w:val="dotted"/>
            </w:tcBorders>
            <w:shd w:fill="auto"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Serviços Técnicos profissionais especializados de natureza predominantemente intelectual, com empresas e/ou profissionais de notória especialização;</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Professor(es) experiente(s), renomado(s) com metodologia de enfoques teóricos e práticos;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Didática de distribuição dos temas, de forma a atender desde o interesse geral, até os mais específicos;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Debates sobre os pontos fundamentais da matéria, na forma de treinamento palestra, seminário e/ou oficina;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 relação a critério de sustentabilidade, foi visualizado o guia de critérios para aquisições sustentáveis da UFCA e o Guia Nacional de. Contratações Sustentáveis, não sendo aplicável a contratação demandada;</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Dispor de certificado de conclusão de curso.</w:t>
            </w:r>
          </w:p>
        </w:tc>
      </w:tr>
      <w:tr>
        <w:trPr>
          <w:cantSplit w:val="0"/>
          <w:trHeight w:val="359" w:hRule="atLeast"/>
          <w:tblHeader w:val="0"/>
        </w:trPr>
        <w:tc>
          <w:tcPr>
            <w:gridSpan w:val="2"/>
            <w:tcBorders>
              <w:top w:color="000000" w:space="0" w:sz="4" w:val="dotted"/>
              <w:left w:color="000000" w:space="0" w:sz="4" w:val="single"/>
              <w:right w:color="000000" w:space="0" w:sz="4" w:val="dotted"/>
            </w:tcBorders>
            <w:shd w:fill="a6a6a6"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3.</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LEVANTAMENTO DE MERCADO</w:t>
            </w:r>
          </w:p>
        </w:tc>
      </w:tr>
      <w:tr>
        <w:trPr>
          <w:cantSplit w:val="0"/>
          <w:trHeight w:val="359" w:hRule="atLeast"/>
          <w:tblHeader w:val="0"/>
        </w:trPr>
        <w:tc>
          <w:tcPr>
            <w:gridSpan w:val="2"/>
            <w:tcBorders>
              <w:top w:color="000000" w:space="0" w:sz="4" w:val="dotted"/>
              <w:left w:color="000000" w:space="0" w:sz="4" w:val="single"/>
              <w:right w:color="000000" w:space="0" w:sz="4" w:val="dotted"/>
            </w:tcBorders>
            <w:shd w:fill="auto"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Levantamento de mercado foi realizado considerando pesquisa em sites de empresas consideradas especializadas. Para atendimento da necessidade, não se verificou outras soluções possíveis se não a capacitação destacada neste estudo.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razão de escolha do fornecedor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Justifica-se a escolha da empresa ofertante do curso em virtude da especialização na área, do amplo tempo de atuação no mercado e na reconhecida qualidade dos cursos que oferece. Os bens e serviços em causa são inquestionavelmente técnicos, especializados e de natureza intelectual, seja por não possuírem equivalentes perfeitos, seja por decorrerem da metodologia de organização da informação adotada pela empresa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seja, ainda, por tratar-se de uma capacitação com programação orientada às necessidades específicas dos agentes de Instituições Públicas. Assim, a notória especialização está comprovada através dos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 (documentos (declarações, certidões e atestados de Capacidade Técnica)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anexos ao este processo.</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59" w:hRule="atLeast"/>
          <w:tblHeader w:val="0"/>
        </w:trPr>
        <w:tc>
          <w:tcPr>
            <w:gridSpan w:val="2"/>
            <w:tcBorders>
              <w:top w:color="000000" w:space="0" w:sz="4" w:val="dotted"/>
              <w:left w:color="000000" w:space="0" w:sz="4" w:val="single"/>
              <w:right w:color="000000" w:space="0" w:sz="4" w:val="dotted"/>
            </w:tcBorders>
            <w:shd w:fill="a6a6a6"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4.</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DESCRIÇÃO DA SOLUÇÃO</w:t>
            </w:r>
          </w:p>
        </w:tc>
      </w:tr>
      <w:tr>
        <w:trPr>
          <w:cantSplit w:val="0"/>
          <w:trHeight w:val="359" w:hRule="atLeast"/>
          <w:tblHeader w:val="0"/>
        </w:trPr>
        <w:tc>
          <w:tcPr>
            <w:gridSpan w:val="2"/>
            <w:tcBorders>
              <w:top w:color="000000" w:space="0" w:sz="4" w:val="dotted"/>
              <w:left w:color="000000" w:space="0" w:sz="4" w:val="single"/>
              <w:right w:color="000000" w:space="0" w:sz="4" w:val="dotted"/>
            </w:tcBorders>
            <w:shd w:fill="auto"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Xxxxxxxxxxxxxxxxxxxxxxxxxxxxx (nome da capacitação)</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 horas (Carga horária)</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XXXXXXXXXXXXXXXXX (local do evento)</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 a XX/XX/XX (período do evento – dia/mês/ano)</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XX:XXh às XX:XXh (horário do evento)</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0" w:right="109" w:hanging="283"/>
              <w:jc w:val="both"/>
              <w:rPr>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 (Benefícios disponibilizados pela capacitação – Certificado, material de apoio, coffee break, etc)</w:t>
            </w:r>
          </w:p>
        </w:tc>
      </w:tr>
      <w:tr>
        <w:trPr>
          <w:cantSplit w:val="0"/>
          <w:trHeight w:val="359"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ESTIMATIVA DAS QUANTIDADES COM A MEMÓRIA DE CÁLCULO</w:t>
            </w:r>
          </w:p>
        </w:tc>
      </w:tr>
      <w:tr>
        <w:trPr>
          <w:cantSplit w:val="0"/>
          <w:trHeight w:val="359"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quantitativo de inscrições leva em consideração a quantidade de servidores que atuam na área do pretenso curso, os quais apresentaram suas demandas de capacitação no levantamento de necessidades de desenvolvimento – LND, realizado pela PROGEP para integrar o Plano Nacional de Desenvolvimento 2024.</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3"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ESTIMATIVA DO VALOR DA CONTRATAÇÃO</w:t>
            </w:r>
          </w:p>
        </w:tc>
      </w:tr>
      <w:tr>
        <w:trPr>
          <w:cantSplit w:val="0"/>
          <w:trHeight w:val="303"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valor global estimado para a execução dos serviços é de R$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34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
              <w:gridCol w:w="3261"/>
              <w:gridCol w:w="992"/>
              <w:gridCol w:w="567"/>
              <w:gridCol w:w="1417"/>
              <w:gridCol w:w="1418"/>
              <w:tblGridChange w:id="0">
                <w:tblGrid>
                  <w:gridCol w:w="694"/>
                  <w:gridCol w:w="3261"/>
                  <w:gridCol w:w="992"/>
                  <w:gridCol w:w="567"/>
                  <w:gridCol w:w="1417"/>
                  <w:gridCol w:w="14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ITEM</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709"/>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UNIDADE DE MEDIDA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QTD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VALOR UNITÁRIO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VALOR TOTAL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Unidade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312"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justificativa de preços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17" w:right="25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que tange à necessidade de justificativa de preço como elemento de instrução do processo de inexigibilidade, por força do disposto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72, VII, da Lei n° 14.133/2021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Advocacia Geral da União, por meio da Orientação Normativa nº 17, de 1º de abril de 2009, se pronunciou no sentido de que: “A razoabilidade do valor das contratações decorrentes de inexigibilidade de licitação poderá ser aferida por meio da comparação da proposta apresentada com os preços praticados pela futura contratada junto a outros entes públicos e/ou privados, ou outros meios igualmente idôneos”. </w:t>
            </w:r>
            <w:r w:rsidDel="00000000" w:rsidR="00000000" w:rsidRPr="00000000">
              <w:rPr>
                <w:rtl w:val="0"/>
              </w:rPr>
            </w:r>
          </w:p>
          <w:p w:rsidR="00000000" w:rsidDel="00000000" w:rsidP="00000000" w:rsidRDefault="00000000" w:rsidRPr="00000000" w14:paraId="0000005E">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17" w:right="250" w:firstLine="0"/>
              <w:jc w:val="both"/>
              <w:rPr>
                <w:rFonts w:ascii="Calibri" w:cs="Calibri" w:eastAsia="Calibri" w:hAnsi="Calibri"/>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Instrução Normativa SEGES /ME Nº 65, de 7 de julho de 2021 compartilha do mesmo entendimento nos seguintes termos: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Art. 7º:</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Nas contratações diretas por inexigibilidade ou por dispensa de licitação,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aplica-se o disposto no art. 5º</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F">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17" w:right="250" w:firstLine="0"/>
              <w:jc w:val="both"/>
              <w:rPr>
                <w:rFonts w:ascii="Calibri" w:cs="Calibri" w:eastAsia="Calibri" w:hAnsi="Calibri"/>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1º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Quando não for possível estimar o valor do objeto na forma estabelecida no art. 5º</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r w:rsidDel="00000000" w:rsidR="00000000" w:rsidRPr="00000000">
              <w:rPr>
                <w:rtl w:val="0"/>
              </w:rPr>
            </w:r>
          </w:p>
          <w:p w:rsidR="00000000" w:rsidDel="00000000" w:rsidP="00000000" w:rsidRDefault="00000000" w:rsidRPr="00000000" w14:paraId="00000060">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417" w:right="250" w:firstLine="0"/>
              <w:jc w:val="both"/>
              <w:rPr>
                <w:rFonts w:ascii="Calibri" w:cs="Calibri" w:eastAsia="Calibri" w:hAnsi="Calibri"/>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2º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Excepcionalmente, caso a futura contratada não tenha comercializado o objeto anteriormente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 justificativa de preço de que trata o parágrafo anterior poderá ser realizada com objetos semelhantes de mesma natureza, devendo apresentar especificações técnicas que demonstrem similaridade com o objeto pretendido”.</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Deste modo, a justificativa de preço da contratação a ser firmada com a empresa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XXXX</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encontra suporte na pesquisa de preço baseada em contratações similares feitas pela Administração Pública, em execução ou concluídas no período de 1 (um) ano anterior à data da pesquisa de preços, anexada aos autos.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1"/>
                <w:i w:val="0"/>
                <w:smallCaps w:val="0"/>
                <w:strike w:val="0"/>
                <w:color w:val="ff0000"/>
                <w:sz w:val="20"/>
                <w:szCs w:val="20"/>
                <w:highlight w:val="white"/>
                <w:u w:val="single"/>
                <w:vertAlign w:val="baseline"/>
              </w:rPr>
            </w:pPr>
            <w:r w:rsidDel="00000000" w:rsidR="00000000" w:rsidRPr="00000000">
              <w:rPr>
                <w:rFonts w:ascii="Arial" w:cs="Arial" w:eastAsia="Arial" w:hAnsi="Arial"/>
                <w:b w:val="1"/>
                <w:i w:val="0"/>
                <w:smallCaps w:val="0"/>
                <w:strike w:val="0"/>
                <w:color w:val="ff0000"/>
                <w:sz w:val="20"/>
                <w:szCs w:val="20"/>
                <w:highlight w:val="white"/>
                <w:u w:val="single"/>
                <w:vertAlign w:val="baseline"/>
                <w:rtl w:val="0"/>
              </w:rPr>
              <w:t xml:space="preserve">OU</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Deste modo, a justificativa de preço da contratação a ser firmada com a empresa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XXXX</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encontra suporte nas notas de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XXXX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empenho e/ou fiscais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para o mesmo curso que se pretende contratar, anexadas aos autos.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1"/>
                <w:i w:val="0"/>
                <w:smallCaps w:val="0"/>
                <w:strike w:val="0"/>
                <w:color w:val="ff0000"/>
                <w:sz w:val="20"/>
                <w:szCs w:val="20"/>
                <w:u w:val="single"/>
                <w:shd w:fill="auto" w:val="clear"/>
                <w:vertAlign w:val="baseline"/>
              </w:rPr>
            </w:pPr>
            <w:r w:rsidDel="00000000" w:rsidR="00000000" w:rsidRPr="00000000">
              <w:rPr>
                <w:rFonts w:ascii="Arial" w:cs="Arial" w:eastAsia="Arial" w:hAnsi="Arial"/>
                <w:b w:val="1"/>
                <w:i w:val="0"/>
                <w:smallCaps w:val="0"/>
                <w:strike w:val="0"/>
                <w:color w:val="ff0000"/>
                <w:sz w:val="20"/>
                <w:szCs w:val="20"/>
                <w:u w:val="single"/>
                <w:shd w:fill="auto" w:val="clear"/>
                <w:vertAlign w:val="baseline"/>
                <w:rtl w:val="0"/>
              </w:rPr>
              <w:t xml:space="preserve">OU</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Deste modo, a justificativa de preço da contratação a ser firmada com a empresa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XXXX</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encontra suporte nas notas de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XXXX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empenho e/ou fiscais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de cursos semelhantes de mesma natureza, com especificação técnica e carga horária similar ao do curso em questão,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tendo em vista que o curso “</w:t>
            </w:r>
            <w:r w:rsidDel="00000000" w:rsidR="00000000" w:rsidRPr="00000000">
              <w:rPr>
                <w:rFonts w:ascii="Arial" w:cs="Arial" w:eastAsia="Arial" w:hAnsi="Arial"/>
                <w:b w:val="1"/>
                <w:i w:val="0"/>
                <w:smallCaps w:val="0"/>
                <w:strike w:val="0"/>
                <w:color w:val="ff0000"/>
                <w:sz w:val="20"/>
                <w:szCs w:val="20"/>
                <w:highlight w:val="white"/>
                <w:u w:val="none"/>
                <w:vertAlign w:val="baseline"/>
                <w:rtl w:val="0"/>
              </w:rPr>
              <w:t xml:space="preserve">XXXX</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é novo na programação, impossibilitando a apresentação de notas de XXXX (empenho e/ou fiscais) emitidas anteriormente para este curso.</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1"/>
                <w:i w:val="0"/>
                <w:smallCaps w:val="0"/>
                <w:strike w:val="0"/>
                <w:color w:val="ff0000"/>
                <w:sz w:val="20"/>
                <w:szCs w:val="20"/>
                <w:highlight w:val="white"/>
                <w:u w:val="single"/>
                <w:vertAlign w:val="baseline"/>
              </w:rPr>
            </w:pPr>
            <w:r w:rsidDel="00000000" w:rsidR="00000000" w:rsidRPr="00000000">
              <w:rPr>
                <w:rFonts w:ascii="Arial" w:cs="Arial" w:eastAsia="Arial" w:hAnsi="Arial"/>
                <w:b w:val="1"/>
                <w:i w:val="0"/>
                <w:smallCaps w:val="0"/>
                <w:strike w:val="0"/>
                <w:color w:val="ff0000"/>
                <w:sz w:val="20"/>
                <w:szCs w:val="20"/>
                <w:highlight w:val="white"/>
                <w:u w:val="single"/>
                <w:vertAlign w:val="baseline"/>
                <w:rtl w:val="0"/>
              </w:rPr>
              <w:t xml:space="preserve">OU</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Deste modo, a justificativa de preço da contratação a ser firmada com a empresa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XXXX</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encontra suporte no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print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 página de domínio amplo da pretensa contratada, anexadas aos autos.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1"/>
                <w:i w:val="0"/>
                <w:smallCaps w:val="0"/>
                <w:strike w:val="0"/>
                <w:color w:val="ff0000"/>
                <w:sz w:val="20"/>
                <w:szCs w:val="20"/>
                <w:highlight w:val="white"/>
                <w:u w:val="single"/>
                <w:vertAlign w:val="baseline"/>
              </w:rPr>
            </w:pPr>
            <w:r w:rsidDel="00000000" w:rsidR="00000000" w:rsidRPr="00000000">
              <w:rPr>
                <w:rFonts w:ascii="Arial" w:cs="Arial" w:eastAsia="Arial" w:hAnsi="Arial"/>
                <w:b w:val="1"/>
                <w:i w:val="0"/>
                <w:smallCaps w:val="0"/>
                <w:strike w:val="0"/>
                <w:color w:val="ff0000"/>
                <w:sz w:val="20"/>
                <w:szCs w:val="20"/>
                <w:highlight w:val="white"/>
                <w:u w:val="single"/>
                <w:vertAlign w:val="baseline"/>
                <w:rtl w:val="0"/>
              </w:rPr>
              <w:t xml:space="preserve">OU</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250" w:firstLine="0"/>
              <w:jc w:val="both"/>
              <w:rPr>
                <w:rFonts w:ascii="Arial" w:cs="Arial" w:eastAsia="Arial" w:hAnsi="Arial"/>
                <w:b w:val="1"/>
                <w:i w:val="0"/>
                <w:smallCaps w:val="0"/>
                <w:strike w:val="0"/>
                <w:color w:val="ff0000"/>
                <w:sz w:val="20"/>
                <w:szCs w:val="20"/>
                <w:highlight w:val="white"/>
                <w:u w:val="single"/>
                <w:vertAlign w:val="baseline"/>
              </w:rPr>
            </w:pPr>
            <w:r w:rsidDel="00000000" w:rsidR="00000000" w:rsidRPr="00000000">
              <w:rPr>
                <w:rFonts w:ascii="Arial" w:cs="Arial" w:eastAsia="Arial" w:hAnsi="Arial"/>
                <w:b w:val="1"/>
                <w:i w:val="0"/>
                <w:smallCaps w:val="0"/>
                <w:strike w:val="0"/>
                <w:color w:val="ff0000"/>
                <w:sz w:val="20"/>
                <w:szCs w:val="20"/>
                <w:highlight w:val="white"/>
                <w:u w:val="single"/>
                <w:vertAlign w:val="baseline"/>
                <w:rtl w:val="0"/>
              </w:rPr>
              <w:t xml:space="preserve">A justificativa de preços pode ser ainda um combinado das opções acima. O importante que demonstre que o preço ofertado à UFCA é compatível com o praticado no mercado.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p>
        </w:tc>
      </w:tr>
      <w:tr>
        <w:trPr>
          <w:cantSplit w:val="0"/>
          <w:trHeight w:val="261"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JUSTIFICATIVAS PARA O PARCELAMENTO OU NÃO DA SOLUÇÃO, SE APLICÁVEL</w:t>
            </w:r>
            <w:r w:rsidDel="00000000" w:rsidR="00000000" w:rsidRPr="00000000">
              <w:rPr>
                <w:rtl w:val="0"/>
              </w:rPr>
            </w:r>
          </w:p>
        </w:tc>
      </w:tr>
      <w:tr>
        <w:trPr>
          <w:cantSplit w:val="0"/>
          <w:trHeight w:val="303"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5"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parcelamento da solução </w:t>
            </w:r>
            <w:r w:rsidDel="00000000" w:rsidR="00000000" w:rsidRPr="00000000">
              <w:rPr>
                <w:rFonts w:ascii="Arial" w:cs="Arial" w:eastAsia="Arial" w:hAnsi="Arial"/>
                <w:rtl w:val="0"/>
              </w:rPr>
              <w:t xml:space="preserve">é</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 Considerando que o objeto não tem natureza divisível, não haverá parcelamento da solução.</w:t>
            </w:r>
            <w:r w:rsidDel="00000000" w:rsidR="00000000" w:rsidRPr="00000000">
              <w:rPr>
                <w:rtl w:val="0"/>
              </w:rPr>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8.</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CONTRATAÇÕES CORRELATAS E/OU INTERDEPENDENTES</w:t>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5"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 verifica contratações correlatas e/ou interdependentes. </w:t>
            </w:r>
            <w:r w:rsidDel="00000000" w:rsidR="00000000" w:rsidRPr="00000000">
              <w:rPr>
                <w:rtl w:val="0"/>
              </w:rPr>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9.</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DEMONSTRAÇÃO DO ALINHAMENTO ENTRE A CONTRATAÇÃO E O PLANEJAMENTO INSTITUCIONAL</w:t>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Demonstração do alinhamento entre a contratação e o planejamento do órgão ou entidade, identificando a previsão no Plano Anual de Contratações ou, se for o caso, justificando a ausência de previsão.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XXXXXXXXXXXXXXXXXXXXXXXXXXXXXXXXXXXXXXXXXXXXXXXXXXXXXXXXXXXXXXXXXXXXXXXXXXXXXXXXXXXXXXXXXXXXXXXXXXXXXXXXXXXXXXXXXXX</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Indicar se a contratação está alinhada aos planos instituídos pelo órgão ou entidade tais como Plano de Desenvolvimento Institucional (PDI) ou Planejamento Estratégico (PEI) (Item 3.2, ‘a’, anexo III, IN nº 05/2017).</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XXXXXXXXXXXXXXXXXXXXXXXXXXXXXXXXXXXXXXXXXXXXXXXXXXXXXXXXXXXXXXXXXXXXXXXXXXXXXXXXXXXXXXXXXXXXXXXXXXXXXXXXXXXXXXXXXXXXXXXXx</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10.</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DEMONSTRATIVO DOS RESULTADOS PRETENDIDOS</w:t>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36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Demonstrar os benefícios que a capacitação trará para as atividades desempenhadas pelo servidor no setor que ocupa e, consequentemente, para Universidade.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Declarar os benefícios diretos e indiretos que o órgão ou entidade almeja com a contratação, em termos de economicidade, eficácia, eficiência, de melhor aproveitamento dos recursos humanos, materiais e financeiros disponíveis, bem como, se for o caso, de melhoria da qualidade de produtos ou serviços oferecidos à sociedade (Item 3.9, ‘a’, anexo III, IN nº 05/2017).</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XXXXXXXXXXXXXXXXXXXXXXXXXXXXXXXXXXXXXXXXXXXXXXXXXXXXXXXXXXXXXXXXXXXXXXXXXXXXXXXXXXXXXXXXXXXXXXXXXXXXXXXXXXXXXXXXXXXXXXXXXXXXXXXXXXXXXXXXXXXXXXXXXXXXXXXXXXXXXXXXXXXXXXXXXXXXXXXXXXXXXXXXXXXXXXXXXXXXXXXXXXXXXXXXXXXXXXXXXXXXXXXXXXXXXXXXXXXXXXXXXXXX</w:t>
            </w:r>
            <w:r w:rsidDel="00000000" w:rsidR="00000000" w:rsidRPr="00000000">
              <w:rPr>
                <w:rtl w:val="0"/>
              </w:rPr>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11.</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PROVIDÊNCIAS A SEREM ADOTADAS PELA ADMINISTRAÇÃO PREVIAMENTE À CELEBRAÇÃO DO CONTRATO</w:t>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 verifica providências a serem adotadas pela administração.</w:t>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12.</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POSSÍVEIS IMPACTOS AMBIENTAIS E RESPECTIVAS MEDIDAS DE TRATAMENTO</w:t>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left w:w="5.0" w:type="dxa"/>
              <w:right w:w="10.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 verifica possíveis impactos ambientais.  </w:t>
            </w:r>
            <w:r w:rsidDel="00000000" w:rsidR="00000000" w:rsidRPr="00000000">
              <w:rPr>
                <w:rtl w:val="0"/>
              </w:rPr>
            </w:r>
          </w:p>
        </w:tc>
      </w:tr>
      <w:tr>
        <w:trPr>
          <w:cantSplit w:val="0"/>
          <w:trHeight w:val="96" w:hRule="atLeast"/>
          <w:tblHeader w:val="0"/>
        </w:trPr>
        <w:tc>
          <w:tcPr>
            <w:gridSpan w:val="2"/>
            <w:tcBorders>
              <w:top w:color="000000" w:space="0" w:sz="4" w:val="dotted"/>
              <w:left w:color="000000" w:space="0" w:sz="4" w:val="single"/>
              <w:bottom w:color="000000" w:space="0" w:sz="4" w:val="dotted"/>
              <w:right w:color="000000" w:space="0" w:sz="4" w:val="dotted"/>
            </w:tcBorders>
            <w:shd w:fill="a6a6a6"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p>
        </w:tc>
        <w:tc>
          <w:tcPr>
            <w:tcBorders>
              <w:top w:color="000000" w:space="0" w:sz="4" w:val="dotted"/>
              <w:left w:color="000000" w:space="0" w:sz="4" w:val="dotted"/>
              <w:bottom w:color="000000" w:space="0" w:sz="4" w:val="dotted"/>
              <w:right w:color="000000" w:space="0" w:sz="4" w:val="single"/>
            </w:tcBorders>
            <w:shd w:fill="a6a6a6" w:val="clear"/>
            <w:tcMar>
              <w:left w:w="5.0" w:type="dxa"/>
              <w:right w:w="1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2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POSICIONAMENTO CONCLUSIVO SOBRE A VIABILIDADE E RAZOABILIDADE DA CONTRATAÇÃO</w:t>
            </w:r>
            <w:r w:rsidDel="00000000" w:rsidR="00000000" w:rsidRPr="00000000">
              <w:rPr>
                <w:rtl w:val="0"/>
              </w:rPr>
            </w:r>
          </w:p>
        </w:tc>
      </w:tr>
      <w:tr>
        <w:trPr>
          <w:cantSplit w:val="0"/>
          <w:trHeight w:val="96" w:hRule="atLeast"/>
          <w:tblHeader w:val="0"/>
        </w:trPr>
        <w:tc>
          <w:tcPr>
            <w:gridSpan w:val="2"/>
            <w:tcBorders>
              <w:top w:color="000000" w:space="0" w:sz="4" w:val="dotted"/>
              <w:left w:color="000000" w:space="0" w:sz="4" w:val="single"/>
              <w:bottom w:color="000000" w:space="0" w:sz="4" w:val="single"/>
              <w:right w:color="000000" w:space="0" w:sz="4" w:val="dotted"/>
            </w:tcBorders>
            <w:shd w:fill="auto"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shd w:fill="auto" w:val="clear"/>
            <w:tcMar>
              <w:left w:w="5.0" w:type="dxa"/>
              <w:right w:w="10.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4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 base nos elementos expostos acima, declaro que a contratação é viável.</w:t>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Juazeiro do Norte - CE, _____ de _____________ de ________</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72.0" w:type="dxa"/>
        <w:jc w:val="left"/>
        <w:tblInd w:w="-250.0" w:type="dxa"/>
        <w:tblLayout w:type="fixed"/>
        <w:tblLook w:val="0000"/>
      </w:tblPr>
      <w:tblGrid>
        <w:gridCol w:w="4536"/>
        <w:gridCol w:w="4536"/>
        <w:tblGridChange w:id="0">
          <w:tblGrid>
            <w:gridCol w:w="4536"/>
            <w:gridCol w:w="4536"/>
          </w:tblGrid>
        </w:tblGridChange>
      </w:tblGrid>
      <w:tr>
        <w:trPr>
          <w:cantSplit w:val="0"/>
          <w:tblHeader w:val="0"/>
        </w:trPr>
        <w:tc>
          <w:tcPr>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w:t>
            </w:r>
          </w:p>
        </w:tc>
      </w:tr>
      <w:tr>
        <w:trPr>
          <w:cantSplit w:val="0"/>
          <w:tblHeader w:val="0"/>
        </w:trPr>
        <w:tc>
          <w:tcPr>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Servidor(a) responsável</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 institucional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CPF: </w:t>
            </w:r>
          </w:p>
        </w:tc>
        <w:tc>
          <w:tcPr>
            <w:shd w:fill="auto" w:val="clear"/>
          </w:tcPr>
          <w:p w:rsidR="00000000" w:rsidDel="00000000" w:rsidP="00000000" w:rsidRDefault="00000000" w:rsidRPr="00000000" w14:paraId="000000A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Servidor(a) responsável</w:t>
            </w:r>
          </w:p>
          <w:p w:rsidR="00000000" w:rsidDel="00000000" w:rsidP="00000000" w:rsidRDefault="00000000" w:rsidRPr="00000000" w14:paraId="000000A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 institucional :</w:t>
            </w:r>
          </w:p>
          <w:p w:rsidR="00000000" w:rsidDel="00000000" w:rsidP="00000000" w:rsidRDefault="00000000" w:rsidRPr="00000000" w14:paraId="000000A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CPF: </w:t>
            </w:r>
          </w:p>
        </w:tc>
      </w:tr>
      <w:tr>
        <w:trPr>
          <w:cantSplit w:val="0"/>
          <w:tblHeader w:val="0"/>
        </w:trPr>
        <w:tc>
          <w:tcPr>
            <w:shd w:fill="auto"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B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Servidor(a) responsável</w:t>
            </w:r>
          </w:p>
          <w:p w:rsidR="00000000" w:rsidDel="00000000" w:rsidP="00000000" w:rsidRDefault="00000000" w:rsidRPr="00000000" w14:paraId="000000B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 institucional :</w:t>
            </w:r>
          </w:p>
          <w:p w:rsidR="00000000" w:rsidDel="00000000" w:rsidP="00000000" w:rsidRDefault="00000000" w:rsidRPr="00000000" w14:paraId="000000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CPF: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9">
            <w:pPr>
              <w:jc w:val="center"/>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701" w:left="1701" w:right="1134"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252"/>
        <w:tab w:val="right" w:leader="none" w:pos="8504"/>
      </w:tabs>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-1051559</wp:posOffset>
          </wp:positionH>
          <wp:positionV relativeFrom="paragraph">
            <wp:posOffset>-290194</wp:posOffset>
          </wp:positionV>
          <wp:extent cx="7560310" cy="143383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310" cy="1433830"/>
                  </a:xfrm>
                  <a:prstGeom prst="rect"/>
                  <a:ln/>
                </pic:spPr>
              </pic:pic>
            </a:graphicData>
          </a:graphic>
        </wp:anchor>
      </w:drawing>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447.0" w:type="dxa"/>
      <w:jc w:val="left"/>
      <w:tblInd w:w="-411.0" w:type="dxa"/>
      <w:tblBorders>
        <w:top w:color="000000" w:space="0" w:sz="4" w:val="single"/>
        <w:left w:color="000000" w:space="0" w:sz="4" w:val="single"/>
        <w:bottom w:color="000000" w:space="0" w:sz="4" w:val="single"/>
        <w:insideH w:color="000000" w:space="0" w:sz="4" w:val="single"/>
      </w:tblBorders>
      <w:tblLayout w:type="fixed"/>
      <w:tblLook w:val="0000"/>
    </w:tblPr>
    <w:tblGrid>
      <w:gridCol w:w="2962"/>
      <w:gridCol w:w="3344"/>
      <w:gridCol w:w="3141"/>
      <w:tblGridChange w:id="0">
        <w:tblGrid>
          <w:gridCol w:w="2962"/>
          <w:gridCol w:w="3344"/>
          <w:gridCol w:w="3141"/>
        </w:tblGrid>
      </w:tblGridChange>
    </w:tblGrid>
    <w:tr>
      <w:trPr>
        <w:cantSplit w:val="1"/>
        <w:trHeight w:val="37" w:hRule="atLeast"/>
        <w:tblHeader w:val="0"/>
      </w:trPr>
      <w:tc>
        <w:tcPr>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1676400" cy="971550"/>
                <wp:effectExtent b="0" l="0" r="0" t="0"/>
                <wp:docPr descr="UFCA+PROAD RV_transp" id="1" name="image2.png"/>
                <a:graphic>
                  <a:graphicData uri="http://schemas.openxmlformats.org/drawingml/2006/picture">
                    <pic:pic>
                      <pic:nvPicPr>
                        <pic:cNvPr descr="UFCA+PROAD RV_transp" id="0" name="image2.png"/>
                        <pic:cNvPicPr preferRelativeResize="0"/>
                      </pic:nvPicPr>
                      <pic:blipFill>
                        <a:blip r:embed="rId1"/>
                        <a:srcRect b="0" l="0" r="0" t="0"/>
                        <a:stretch>
                          <a:fillRect/>
                        </a:stretch>
                      </pic:blipFill>
                      <pic:spPr>
                        <a:xfrm>
                          <a:off x="0" y="0"/>
                          <a:ext cx="1676400" cy="97155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ESTUDOS TÉCNICOS PRELIMINARES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Formulário</w:t>
          </w:r>
          <w:r w:rsidDel="00000000" w:rsidR="00000000" w:rsidRPr="00000000">
            <w:rPr>
              <w:rtl w:val="0"/>
            </w:rPr>
          </w:r>
        </w:p>
      </w:tc>
    </w:tr>
    <w:tr>
      <w:trPr>
        <w:cantSplit w:val="1"/>
        <w:trHeight w:val="115"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Identificação: FR.04</w:t>
          </w:r>
          <w:r w:rsidDel="00000000" w:rsidR="00000000" w:rsidRPr="00000000">
            <w:rPr>
              <w:rtl w:val="0"/>
            </w:rPr>
          </w:r>
        </w:p>
      </w:tc>
    </w:tr>
    <w:tr>
      <w:trPr>
        <w:cantSplit w:val="1"/>
        <w:trHeight w:val="118"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Responsável:</w:t>
            <w:br w:type="textWrapping"/>
            <w:t xml:space="preserve">Coordenadoria de Apoio às Compras </w:t>
          </w:r>
        </w:p>
      </w:tc>
    </w:tr>
    <w:tr>
      <w:trPr>
        <w:cantSplit w:val="1"/>
        <w:trHeight w:val="67"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Versão: 05</w:t>
          </w:r>
          <w:r w:rsidDel="00000000" w:rsidR="00000000" w:rsidRPr="00000000">
            <w:rPr>
              <w:rtl w:val="0"/>
            </w:rPr>
          </w:r>
        </w:p>
      </w:tc>
    </w:tr>
    <w:tr>
      <w:trPr>
        <w:cantSplit w:val="1"/>
        <w:trHeight w:val="71"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da Versão: 13/07/2023</w:t>
          </w:r>
          <w:r w:rsidDel="00000000" w:rsidR="00000000" w:rsidRPr="00000000">
            <w:rPr>
              <w:rtl w:val="0"/>
            </w:rPr>
          </w:r>
        </w:p>
      </w:tc>
    </w:tr>
    <w:tr>
      <w:trPr>
        <w:cantSplit w:val="1"/>
        <w:trHeight w:val="73"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Elaboração:</w:t>
            <w:br w:type="textWrapping"/>
            <w:t xml:space="preserve"> Coordenadoria Executiva - PROAD</w:t>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7" w:hanging="360"/>
      </w:pPr>
      <w:rPr>
        <w:rFonts w:ascii="Noto Sans Symbols" w:cs="Noto Sans Symbols" w:eastAsia="Noto Sans Symbols" w:hAnsi="Noto Sans Symbols"/>
      </w:rPr>
    </w:lvl>
    <w:lvl w:ilvl="1">
      <w:start w:val="1"/>
      <w:numFmt w:val="bullet"/>
      <w:lvlText w:val="o"/>
      <w:lvlJc w:val="left"/>
      <w:pPr>
        <w:ind w:left="1857" w:hanging="360"/>
      </w:pPr>
      <w:rPr/>
    </w:lvl>
    <w:lvl w:ilvl="2">
      <w:start w:val="1"/>
      <w:numFmt w:val="bullet"/>
      <w:lvlText w:val="▪"/>
      <w:lvlJc w:val="left"/>
      <w:pPr>
        <w:ind w:left="2577" w:hanging="360"/>
      </w:pPr>
      <w:rPr>
        <w:rFonts w:ascii="Noto Sans Symbols" w:cs="Noto Sans Symbols" w:eastAsia="Noto Sans Symbols" w:hAnsi="Noto Sans Symbols"/>
      </w:rPr>
    </w:lvl>
    <w:lvl w:ilvl="3">
      <w:start w:val="1"/>
      <w:numFmt w:val="bullet"/>
      <w:lvlText w:val="●"/>
      <w:lvlJc w:val="left"/>
      <w:pPr>
        <w:ind w:left="3297" w:hanging="360"/>
      </w:pPr>
      <w:rPr>
        <w:rFonts w:ascii="Noto Sans Symbols" w:cs="Noto Sans Symbols" w:eastAsia="Noto Sans Symbols" w:hAnsi="Noto Sans Symbols"/>
      </w:rPr>
    </w:lvl>
    <w:lvl w:ilvl="4">
      <w:start w:val="1"/>
      <w:numFmt w:val="bullet"/>
      <w:lvlText w:val="o"/>
      <w:lvlJc w:val="left"/>
      <w:pPr>
        <w:ind w:left="4017" w:hanging="360"/>
      </w:pPr>
      <w:rPr/>
    </w:lvl>
    <w:lvl w:ilvl="5">
      <w:start w:val="1"/>
      <w:numFmt w:val="bullet"/>
      <w:lvlText w:val="▪"/>
      <w:lvlJc w:val="left"/>
      <w:pPr>
        <w:ind w:left="4737" w:hanging="360"/>
      </w:pPr>
      <w:rPr>
        <w:rFonts w:ascii="Noto Sans Symbols" w:cs="Noto Sans Symbols" w:eastAsia="Noto Sans Symbols" w:hAnsi="Noto Sans Symbols"/>
      </w:rPr>
    </w:lvl>
    <w:lvl w:ilvl="6">
      <w:start w:val="1"/>
      <w:numFmt w:val="bullet"/>
      <w:lvlText w:val="●"/>
      <w:lvlJc w:val="left"/>
      <w:pPr>
        <w:ind w:left="5457" w:hanging="360"/>
      </w:pPr>
      <w:rPr>
        <w:rFonts w:ascii="Noto Sans Symbols" w:cs="Noto Sans Symbols" w:eastAsia="Noto Sans Symbols" w:hAnsi="Noto Sans Symbols"/>
      </w:rPr>
    </w:lvl>
    <w:lvl w:ilvl="7">
      <w:start w:val="1"/>
      <w:numFmt w:val="bullet"/>
      <w:lvlText w:val="o"/>
      <w:lvlJc w:val="left"/>
      <w:pPr>
        <w:ind w:left="6177" w:hanging="360"/>
      </w:pPr>
      <w:rPr/>
    </w:lvl>
    <w:lvl w:ilvl="8">
      <w:start w:val="1"/>
      <w:numFmt w:val="bullet"/>
      <w:lvlText w:val="▪"/>
      <w:lvlJc w:val="left"/>
      <w:pPr>
        <w:ind w:left="6897" w:hanging="360"/>
      </w:pPr>
      <w:rPr>
        <w:rFonts w:ascii="Noto Sans Symbols" w:cs="Noto Sans Symbols" w:eastAsia="Noto Sans Symbols" w:hAnsi="Noto Sans Symbols"/>
      </w:rPr>
    </w:lvl>
  </w:abstractNum>
  <w:abstractNum w:abstractNumId="2">
    <w:lvl w:ilvl="0">
      <w:start w:val="1"/>
      <w:numFmt w:val="bullet"/>
      <w:lvlText w:val="●"/>
      <w:lvlJc w:val="left"/>
      <w:pPr>
        <w:ind w:left="1137" w:hanging="360"/>
      </w:pPr>
      <w:rPr>
        <w:rFonts w:ascii="Noto Sans Symbols" w:cs="Noto Sans Symbols" w:eastAsia="Noto Sans Symbols" w:hAnsi="Noto Sans Symbols"/>
      </w:rPr>
    </w:lvl>
    <w:lvl w:ilvl="1">
      <w:start w:val="1"/>
      <w:numFmt w:val="bullet"/>
      <w:lvlText w:val="o"/>
      <w:lvlJc w:val="left"/>
      <w:pPr>
        <w:ind w:left="1857" w:hanging="360"/>
      </w:pPr>
      <w:rPr/>
    </w:lvl>
    <w:lvl w:ilvl="2">
      <w:start w:val="1"/>
      <w:numFmt w:val="bullet"/>
      <w:lvlText w:val="▪"/>
      <w:lvlJc w:val="left"/>
      <w:pPr>
        <w:ind w:left="2577" w:hanging="360"/>
      </w:pPr>
      <w:rPr>
        <w:rFonts w:ascii="Noto Sans Symbols" w:cs="Noto Sans Symbols" w:eastAsia="Noto Sans Symbols" w:hAnsi="Noto Sans Symbols"/>
      </w:rPr>
    </w:lvl>
    <w:lvl w:ilvl="3">
      <w:start w:val="1"/>
      <w:numFmt w:val="bullet"/>
      <w:lvlText w:val="●"/>
      <w:lvlJc w:val="left"/>
      <w:pPr>
        <w:ind w:left="3297" w:hanging="360"/>
      </w:pPr>
      <w:rPr>
        <w:rFonts w:ascii="Noto Sans Symbols" w:cs="Noto Sans Symbols" w:eastAsia="Noto Sans Symbols" w:hAnsi="Noto Sans Symbols"/>
      </w:rPr>
    </w:lvl>
    <w:lvl w:ilvl="4">
      <w:start w:val="1"/>
      <w:numFmt w:val="bullet"/>
      <w:lvlText w:val="o"/>
      <w:lvlJc w:val="left"/>
      <w:pPr>
        <w:ind w:left="4017" w:hanging="360"/>
      </w:pPr>
      <w:rPr/>
    </w:lvl>
    <w:lvl w:ilvl="5">
      <w:start w:val="1"/>
      <w:numFmt w:val="bullet"/>
      <w:lvlText w:val="▪"/>
      <w:lvlJc w:val="left"/>
      <w:pPr>
        <w:ind w:left="4737" w:hanging="360"/>
      </w:pPr>
      <w:rPr>
        <w:rFonts w:ascii="Noto Sans Symbols" w:cs="Noto Sans Symbols" w:eastAsia="Noto Sans Symbols" w:hAnsi="Noto Sans Symbols"/>
      </w:rPr>
    </w:lvl>
    <w:lvl w:ilvl="6">
      <w:start w:val="1"/>
      <w:numFmt w:val="bullet"/>
      <w:lvlText w:val="●"/>
      <w:lvlJc w:val="left"/>
      <w:pPr>
        <w:ind w:left="5457" w:hanging="360"/>
      </w:pPr>
      <w:rPr>
        <w:rFonts w:ascii="Noto Sans Symbols" w:cs="Noto Sans Symbols" w:eastAsia="Noto Sans Symbols" w:hAnsi="Noto Sans Symbols"/>
      </w:rPr>
    </w:lvl>
    <w:lvl w:ilvl="7">
      <w:start w:val="1"/>
      <w:numFmt w:val="bullet"/>
      <w:lvlText w:val="o"/>
      <w:lvlJc w:val="left"/>
      <w:pPr>
        <w:ind w:left="6177" w:hanging="360"/>
      </w:pPr>
      <w:rPr/>
    </w:lvl>
    <w:lvl w:ilvl="8">
      <w:start w:val="1"/>
      <w:numFmt w:val="bullet"/>
      <w:lvlText w:val="▪"/>
      <w:lvlJc w:val="left"/>
      <w:pPr>
        <w:ind w:left="6897"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ff0000"/>
      </w:rPr>
    </w:lvl>
    <w:lvl w:ilvl="1">
      <w:start w:val="1"/>
      <w:numFmt w:val="bullet"/>
      <w:lvlText w:val="o"/>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