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851"/>
        <w:gridCol w:w="850"/>
        <w:gridCol w:w="1276"/>
        <w:gridCol w:w="1559"/>
        <w:gridCol w:w="3103"/>
        <w:gridCol w:w="10"/>
        <w:tblGridChange w:id="0">
          <w:tblGrid>
            <w:gridCol w:w="2977"/>
            <w:gridCol w:w="851"/>
            <w:gridCol w:w="850"/>
            <w:gridCol w:w="1276"/>
            <w:gridCol w:w="1559"/>
            <w:gridCol w:w="3103"/>
            <w:gridCol w:w="10"/>
          </w:tblGrid>
        </w:tblGridChange>
      </w:tblGrid>
      <w:tr>
        <w:trPr>
          <w:cantSplit w:val="0"/>
          <w:trHeight w:val="109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99800</wp:posOffset>
                  </wp:positionV>
                  <wp:extent cx="1010285" cy="504190"/>
                  <wp:effectExtent b="0" l="0" r="0" t="0"/>
                  <wp:wrapNone/>
                  <wp:docPr descr="C:\Users\UFCA\Desktop\Checklist\UFC\Assinatura Principal.pn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UFCA\Desktop\Checklist\UFC\Assinatura Principal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504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Análise de Emenda Parlamentar de Bancada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Plano de Trabalho da Unidade: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Emenda Parlamentar de Bancada nº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Autor 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 (Sim)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 (Não)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EP (Em parte)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 (Não se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Fundamentação Normativa: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Constituição Federal de 1988 (EC 86/2015 e EC 100/2019)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Lei nº 14.436, de 09 de agosto de 2022 (LDO 2023)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Lei nº 14.535, de 17 de janeiro de 2023 (LOA 2023)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Portaria Interministerial MPO/MGI/SRI-PR nº 1, de 03 de março de 2023.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Portaria MEC/SE nº 19, de 13 de fevereiro de 2023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Lista de verificação elaborada consoante Ofício - Circular nº 26/2023/GAB/SPO/SPO-MEC, que trata dos procedimentos e prazos para a operacionalização das emendas parlamentares no MEC.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"/>
        <w:gridCol w:w="7446"/>
        <w:gridCol w:w="1289"/>
        <w:gridCol w:w="1390"/>
        <w:tblGridChange w:id="0">
          <w:tblGrid>
            <w:gridCol w:w="496"/>
            <w:gridCol w:w="7446"/>
            <w:gridCol w:w="1289"/>
            <w:gridCol w:w="13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Emendas individuais (RP7)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S/N/EP ou 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1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Avaliar se há impedimento técnico à execução da emenda parlamentar, conforme as hipóteses estabelecidas pela Portaria Interministerial ME/SEGOV-PR nº 1.965/2022: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rtl w:val="0"/>
              </w:rPr>
              <w:t xml:space="preserve">Incompatibilidade do objeto proposto com a finalidade da ação orçamentária;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Incompatibilidade do objeto proposto com o programa do órgão ou entidade executora;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Falta de razoabilidade do valor proposto, incompatibilidade do valor proposto com o cronograma de execução do projeto ou proposta de valor que impeça a conclusão de uma etapa útil do projeto;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Ausência de pertinência temática entre o objeto proposto e a finalidade institucional da entidade beneficiária;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Omissão ou erro na indicação de beneficiário pelo autor da emenda;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Não apresentação de proposta ou plano de trabalho ou apresentação fora dos prazos previstos;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Não realização de complementação ou ajustes solicitados em proposta ou plano de trabalho, bem como realização de complementação ou ajustes fora dos prazos previstos;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Desistência da proposta pelo proponente;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Reprovação da proposta ou plano de trabalho;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Valor priorizado insuficiente para a execução orçamentária da proposta ou plano de trabalho;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Não indicação de instituição financeira para recebimento e movimentação de recursos de transferências especiais pelo ente federado beneficiário na Plataforma +Brasil;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Outras razões de ordem técnica devidamente justificadas.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2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Avaliar se é possível executar o objeto indicado no Plano de Trabalho em relação à justificativa do espelho da emenda parlamentar, disponível no sítio eletrônico da Câmara dos Deputados: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justificativa do espelho da emenda parlamentar possibilita a execução do objeto de Plano de Trabalho? 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Caso haja impossibilidade de executar o(s) objeto(s) definido(s) na justificativa, é possível alterá-la para viabilizar a execução, mediante envio de ofício pelo(a) autor(a) da emenda a esta Pasta. O ofício com o ajuste de justificativa deve ser, preferencialmente, encaminhado antes do período de inclusão de impedimento técnico pela UO. Segue, no Anexo III, exemplo de um espelho de emenda.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3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Avaliar no SIOP, a pertinência do objeto do Plano de Trabalho com as características orçamentárias da emenda parlamentar: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Unidade Orçamentária (UO)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Ação Orçamentária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Localizador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Grupo de Natureza da Despesa (GND)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Modalidade de aplicação 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CNPJ do beneficiário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 Orçamentária (UO)/ Ação Orçamentária/ Localizador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inadequação de UO, ação e localizador é motivo de impedimento técnico à execução da emenda. Portanto, caso haja inadequação desses itens, a unidade deve inserir impedimento à execução no SIOP, conforme instruções do item 3 do Anexo II.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Grupo de Natureza da Despesa (GND) e Modalidade de Aplicação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Grupo de Natureza da Despesa (GND) e modalidade de aplicação não são hipóteses de impedimento se estiverem inadequados, em conformidade com o § 3º do art. 73 da LDO 2022 (Lei nº 14.194, de 20 de agosto de 2021). O GND é ajustado pelo(a) parlamentar nas janelas de alterações orçamentárias estipuladas pelo Ministério da Economia (Portaria SOF/ME nº 1.110, de 9 de fevereiro de 2022). Esta SPO enviará comunicado às unidades nas ocasiões de abertura das janelas de alteração de GND. A modalidade de aplicação da emenda individual é alterada no SIOP, pela própria UO, conforme explicado no item 2 do Anexo II.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CNPJ do beneficiário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Com relação ao CNPJ do beneficiário, caso haja inadequação, a alteração pode ser realizada mediante solicitação do(a) autor(a) da emenda, por meio de ofício direcionado ao Ministério.</w:t>
            </w:r>
          </w:p>
        </w:tc>
      </w:tr>
    </w:tbl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21"/>
        <w:tblGridChange w:id="0">
          <w:tblGrid>
            <w:gridCol w:w="10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Detalhamento das Observações: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5523"/>
        <w:tblGridChange w:id="0">
          <w:tblGrid>
            <w:gridCol w:w="5098"/>
            <w:gridCol w:w="55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Verificado por:</w:t>
            </w:r>
          </w:p>
          <w:p w:rsidR="00000000" w:rsidDel="00000000" w:rsidP="00000000" w:rsidRDefault="00000000" w:rsidRPr="00000000" w14:paraId="00000097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Nome/Servidor:</w:t>
            </w:r>
          </w:p>
          <w:p w:rsidR="00000000" w:rsidDel="00000000" w:rsidP="00000000" w:rsidRDefault="00000000" w:rsidRPr="00000000" w14:paraId="00000098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Cargo/Função: </w:t>
            </w:r>
          </w:p>
          <w:p w:rsidR="00000000" w:rsidDel="00000000" w:rsidP="00000000" w:rsidRDefault="00000000" w:rsidRPr="00000000" w14:paraId="00000099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Data: ___/___/___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Coordenador (a) de Planejamento Orçamentário: </w:t>
            </w:r>
          </w:p>
          <w:p w:rsidR="00000000" w:rsidDel="00000000" w:rsidP="00000000" w:rsidRDefault="00000000" w:rsidRPr="00000000" w14:paraId="0000009C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Nome/Servidor:</w:t>
            </w:r>
          </w:p>
          <w:p w:rsidR="00000000" w:rsidDel="00000000" w:rsidP="00000000" w:rsidRDefault="00000000" w:rsidRPr="00000000" w14:paraId="0000009D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Portaria nº: </w:t>
            </w:r>
          </w:p>
          <w:p w:rsidR="00000000" w:rsidDel="00000000" w:rsidP="00000000" w:rsidRDefault="00000000" w:rsidRPr="00000000" w14:paraId="0000009E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9F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8" w:left="85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509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E016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55D4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43F77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A85B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k68hD54i0WJwkIszojRw3CweeQ==">AMUW2mXMlKkI0/fjXE0cIm2GG9uldDiPM4getI/SM1pfO0hFqVpattxQD2YzwNOpZO7niqsZihzlduty8ebufKzpdmoHgixUFGjZwCP+4J16qeW3arragMg=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2022-04-20T18:26:00Z</dcterms:created>
  <dc:creator>Cpo Proplan</dc:creator>
</cp:coreProperties>
</file>