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6"/>
        <w:gridCol w:w="4362"/>
        <w:gridCol w:w="3688"/>
        <w:tblGridChange w:id="0">
          <w:tblGrid>
            <w:gridCol w:w="2156"/>
            <w:gridCol w:w="4362"/>
            <w:gridCol w:w="3688"/>
          </w:tblGrid>
        </w:tblGridChange>
      </w:tblGrid>
      <w:tr>
        <w:trPr>
          <w:cantSplit w:val="1"/>
          <w:trHeight w:val="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142" w:firstLine="0"/>
              <w:rPr>
                <w:b w:val="1"/>
                <w:sz w:val="8"/>
                <w:szCs w:val="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42" w:firstLine="33.0000000000000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88" w:right="-11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13674" cy="62801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Solicitação de Produto (Meta Física) de Ação Orçamentária.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Formulário nº 01/2023.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COORDENADORIA DE PLANEJAMENTO ORÇAMENTÁRIO.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Versão:  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da Versão: 29/03/2023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Ação Orçamentária: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operação da qual resultam produtos (bens ou serviços) que contribuem para atender ao objetivo de um programa.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Bem ou serviço que resulta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destinado ao público-alvo, ou o insumo estratégico que será utilizado para a produção futura de bem ou serviço.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 ter um único produto.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Especificação do 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Características do produto acabado, visando sua melhor identificação.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Unidade de Medida: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Padrão selecionado para mensurar a produção do bem ou serviço.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 Informações Gerais: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Ação Orçamentária: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20GK - Fomento às Ações de Graduação, Pós-Graduação, Ensino, Pesquisa e Extensão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Tipo: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Atividade.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Base Normativa: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Constituição Federal/1988, Título VIII, Capítulo III, Seção I; Lei no 6.687/1979; Lei no 11.180/2005; Lei no 11.507/2007; Lei no 11.788/2008; Lei no 12.550/2011; Lei no 12.871/2013; Lei no 12.881/2013; Lei no 13.005/2014 (PNE); Lei no 13.243/2016; Decreto no 6.495/2008; Decreto no 8.977/2017; Decreto no 9.283/2018; Decreto no 10.426/2020; Portaria MEC no 976/2010; Portaria Interministerial MS/MEC no 1.369/2013; Portaria CAPES no 59/2013; Portaria MEC e MS no 285/2015; Portaria CAPES no 102/2015; Portaria CAPES no 132/2016; Portaria MEC no 389/2017; Portaria CAPES no 227/2017; Resolução ANVISA/MS no 39/2008; Resolução CNS/MS no 466/2012; Resolução CD/FNDE no 36/2013; Resolução CD/FNDE no 42/2013. Amparo Legal MDE: Lei no 9.394/1996 (LDB), Art. 70, inciso IV.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Descrição: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Desenvolvimento de programas e projetos no âmbito das Instituições de Ensino Superior (IES), Instituições Científicas, Tecnológicas e de Inovação (ICTs), hospitais universitários e da Empresa Brasileira de Serviços Hospitalares (EBSERH) voltados a: pesquisa, tutoria e extensão na graduação e na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pós-graduação; implementação de ações educativas e culturais; formação, aperfeiçoamento e pesquisa de interesse do Sistema Nacional de Pós-Graduação (SNPG); incentivo e promoção de ações de integração ensino-serviço-comunidade, em cenários de aprendizagem vinculados ao SUS; apoio à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implantação de novas diretrizes curriculares de cursos de graduação no âmbito das IES públicas; apoio à promoção e incentivo à participação em congressos, seminários e simpósios científicos e culturais; apoio a premiação de pesquisadores; bem como demais atividades inerentes às ações de pesquisa, tutoria e extensão; apoio à edição de obras científicas e educacionais, assim como à permanência de estudantes e pesquisadores em missão de estudo no exterior; suporte a iniciativas e projetos que visem à consolidação dos conhecimentos com a prática, mediante atividades voltadas à coletividade, viabilizando a indissociabilidade entre pesquisa, tutoria e extensão, bem como a vivência social e comunitária e a integração entre a IES e hospitais universitários e a comunidade, inclusive por meio de oferta de bolsas; formação de grupos tutoriais de alunos visando otimizar seu potencial acadêmico e promover a integração entre a atividade acadêmica com a futura atividade profissional, melhorando as condições de ensino-aprendizagem. Estão vedadas as despesas que não constituem manutenção e desenvolvimento de ensino relacionadas no art. 71 da Lei no 9.394/1996 (LDB), em especial a subvenção a instituições públicas ou privadas de caráter assistencial, desportivo ou cultural.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2 - Informações Específicas: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0001 - Concessão de bolsas de pesquisa, extensão e monitoria aos estudantes</w:t>
      </w:r>
    </w:p>
    <w:tbl>
      <w:tblPr>
        <w:tblStyle w:val="Table2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Pagamento de bolsas a estudantes participantes de projeto de pesquisa, extensão e monitoria, cujo benefício não é determinado por critério socioeconômico.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Bolsa concedida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0008 - Idiomas sem Fronteiras</w:t>
      </w:r>
    </w:p>
    <w:tbl>
      <w:tblPr>
        <w:tblStyle w:val="Table3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Idiomas sem Fronteiras tem o objetivo de proporcionar oportunidades de acesso, a universidades de países onde a educação superior é conduzida em sua totalidade ou em parte por meio de línguas estrangeiras. Neste sentido, suas ações também atendem a comunidades universitárias brasileiras que passam a receber um número cada vez maior de professores e alunos estrangeiros em seus câmpus. Para atender tal demanda, suas ações incluem a oferta de cursos a distância e cursos presenciais, além da aplicação de testes de proficiência.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 apoiado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0009 - Internacionalização da Educação Superior</w:t>
      </w:r>
    </w:p>
    <w:tbl>
      <w:tblPr>
        <w:tblStyle w:val="Table4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Fomento às atividades de ensino, pesquisa e extensão entre instituições federais de educação superior (IFES) brasileiras e estrangeiras. Abrange: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consolidação e ampliação de programas de mobilidade estudantil e docente; fomento a programas, projetos e ações de intercâmbio acadêmico, científico, tecnológico e de inovação; ampliação da cooperação acadêmica entre IES brasileiras e estrangeiras; estabelecimento de parcerias com entidades estrangeiras para fomento às ações estratégicas da IFES; entre outras ações.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 apoiado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668"/>
        <w:tblGridChange w:id="0">
          <w:tblGrid>
            <w:gridCol w:w="5098"/>
            <w:gridCol w:w="4668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00" w:lineRule="auto"/>
              <w:ind w:left="102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Servidor Responsável:</w:t>
            </w:r>
          </w:p>
          <w:p w:rsidR="00000000" w:rsidDel="00000000" w:rsidP="00000000" w:rsidRDefault="00000000" w:rsidRPr="00000000" w14:paraId="00000050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1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52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Data: ___/___/___ </w:t>
            </w:r>
          </w:p>
          <w:p w:rsidR="00000000" w:rsidDel="00000000" w:rsidP="00000000" w:rsidRDefault="00000000" w:rsidRPr="00000000" w14:paraId="00000053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Assinatura: ____________________________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Gestor da Unidade: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7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58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59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Assinatura: _________________________</w:t>
            </w:r>
          </w:p>
        </w:tc>
      </w:tr>
    </w:tbl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Open Sans" w:cs="Open Sans" w:eastAsia="Open Sans" w:hAnsi="Open Sans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709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6" w:hanging="360.0000000000001"/>
      </w:pPr>
      <w:rPr/>
    </w:lvl>
    <w:lvl w:ilvl="2">
      <w:start w:val="1"/>
      <w:numFmt w:val="decimal"/>
      <w:lvlText w:val="%1.%2.%3"/>
      <w:lvlJc w:val="left"/>
      <w:pPr>
        <w:ind w:left="1572" w:hanging="720.0000000000002"/>
      </w:pPr>
      <w:rPr/>
    </w:lvl>
    <w:lvl w:ilvl="3">
      <w:start w:val="1"/>
      <w:numFmt w:val="decimal"/>
      <w:lvlText w:val="%1.%2.%3.%4"/>
      <w:lvlJc w:val="left"/>
      <w:pPr>
        <w:ind w:left="1998" w:hanging="720"/>
      </w:pPr>
      <w:rPr/>
    </w:lvl>
    <w:lvl w:ilvl="4">
      <w:start w:val="1"/>
      <w:numFmt w:val="decimal"/>
      <w:lvlText w:val="%1.%2.%3.%4.%5"/>
      <w:lvlJc w:val="left"/>
      <w:pPr>
        <w:ind w:left="2784" w:hanging="1080.0000000000005"/>
      </w:pPr>
      <w:rPr/>
    </w:lvl>
    <w:lvl w:ilvl="5">
      <w:start w:val="1"/>
      <w:numFmt w:val="decimal"/>
      <w:lvlText w:val="%1.%2.%3.%4.%5.%6"/>
      <w:lvlJc w:val="left"/>
      <w:pPr>
        <w:ind w:left="3210" w:hanging="1080"/>
      </w:pPr>
      <w:rPr/>
    </w:lvl>
    <w:lvl w:ilvl="6">
      <w:start w:val="1"/>
      <w:numFmt w:val="decimal"/>
      <w:lvlText w:val="%1.%2.%3.%4.%5.%6.%7"/>
      <w:lvlJc w:val="left"/>
      <w:pPr>
        <w:ind w:left="3996" w:hanging="1440"/>
      </w:pPr>
      <w:rPr/>
    </w:lvl>
    <w:lvl w:ilvl="7">
      <w:start w:val="1"/>
      <w:numFmt w:val="decimal"/>
      <w:lvlText w:val="%1.%2.%3.%4.%5.%6.%7.%8"/>
      <w:lvlJc w:val="left"/>
      <w:pPr>
        <w:ind w:left="4422" w:hanging="1440"/>
      </w:pPr>
      <w:rPr/>
    </w:lvl>
    <w:lvl w:ilvl="8">
      <w:start w:val="1"/>
      <w:numFmt w:val="decimal"/>
      <w:lvlText w:val="%1.%2.%3.%4.%5.%6.%7.%8.%9"/>
      <w:lvlJc w:val="left"/>
      <w:pPr>
        <w:ind w:left="4848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rmoglossario" w:customStyle="1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D78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0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012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5C40F2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DF/Fe0oqSwyAg4oQkiPqWSY/YQ==">AMUW2mW99CJxU3aV/B/Ygrz8yaALWOvqUNMFBIAsqa5YXqxZyqklrrl2hAUrYt1SX6/iVTn/Bocvmk64+bd0FuleLjHihhtJLu5eWRMfpfGOsufXqmR6La/f+HEFIxYPyzqdKN9vB7JR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2019-10-14T16:33:00Z</dcterms:created>
  <dc:creator>Valderez Filgueira</dc:creator>
</cp:coreProperties>
</file>