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857F" w14:textId="3F5424C3" w:rsidR="00802699" w:rsidRPr="00F75D4E" w:rsidRDefault="00802699" w:rsidP="00802699">
      <w:pPr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ab/>
      </w:r>
    </w:p>
    <w:p w14:paraId="143DC3F1" w14:textId="2665421D" w:rsidR="00802699" w:rsidRPr="00F75D4E" w:rsidRDefault="00802699" w:rsidP="00802699">
      <w:pPr>
        <w:spacing w:line="276" w:lineRule="auto"/>
        <w:ind w:firstLine="708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(nome do servidor), (função/cargo), (Nº SIAPE) declara:</w:t>
      </w:r>
    </w:p>
    <w:p w14:paraId="7764A1BA" w14:textId="54AE11B0" w:rsidR="00802699" w:rsidRPr="00F75D4E" w:rsidRDefault="00802699" w:rsidP="0080269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Es</w:t>
      </w:r>
      <w:r w:rsidRPr="00F75D4E">
        <w:rPr>
          <w:rFonts w:ascii="Times New Roman" w:hAnsi="Times New Roman" w:cs="Times New Roman"/>
        </w:rPr>
        <w:t>tar ciente de que a busca por propostas de fornecedores para instruir pedido de contratações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não pode ser realizada por terceiros sem vínculos funcionais com a Universidade.</w:t>
      </w:r>
    </w:p>
    <w:p w14:paraId="6D7C3264" w14:textId="34B4D891" w:rsidR="00802699" w:rsidRPr="00F75D4E" w:rsidRDefault="00802699" w:rsidP="0080269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Que não possui qualquer vínculo com a empresa indicada e que o preço ofertado à</w:t>
      </w:r>
      <w:r w:rsidRPr="00F75D4E">
        <w:rPr>
          <w:rFonts w:ascii="Times New Roman" w:hAnsi="Times New Roman" w:cs="Times New Roman"/>
        </w:rPr>
        <w:t xml:space="preserve"> a</w:t>
      </w:r>
      <w:r w:rsidRPr="00F75D4E">
        <w:rPr>
          <w:rFonts w:ascii="Times New Roman" w:hAnsi="Times New Roman" w:cs="Times New Roman"/>
        </w:rPr>
        <w:t>dministração é condizente com o praticado pelo mercado.</w:t>
      </w:r>
    </w:p>
    <w:p w14:paraId="27152A81" w14:textId="7C2E4C65" w:rsidR="00802699" w:rsidRPr="00F75D4E" w:rsidRDefault="00802699" w:rsidP="0080269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 xml:space="preserve">Que a proposta (informar nº </w:t>
      </w:r>
      <w:r w:rsidRPr="00F75D4E">
        <w:rPr>
          <w:rFonts w:ascii="Times New Roman" w:hAnsi="Times New Roman" w:cs="Times New Roman"/>
        </w:rPr>
        <w:t>SIPAC</w:t>
      </w:r>
      <w:r w:rsidRPr="00F75D4E">
        <w:rPr>
          <w:rFonts w:ascii="Times New Roman" w:hAnsi="Times New Roman" w:cs="Times New Roman"/>
        </w:rPr>
        <w:t>) confere com a recebida por e-mail.</w:t>
      </w:r>
    </w:p>
    <w:p w14:paraId="5243C412" w14:textId="77777777" w:rsidR="00A12967" w:rsidRPr="00F75D4E" w:rsidRDefault="00A12967" w:rsidP="00A12967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Diante do exposto, o servidor acima qualificado, assume, pois, a responsabilidade quanto às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informações prestadas e documentos que instruem o presente processo de contratação, firmando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o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presente termo de responsabilidade, de livre e espontânea vontade.</w:t>
      </w:r>
    </w:p>
    <w:p w14:paraId="17CE6DCB" w14:textId="77777777" w:rsidR="00A12967" w:rsidRPr="00F75D4E" w:rsidRDefault="00A12967" w:rsidP="00A12967">
      <w:pPr>
        <w:spacing w:line="276" w:lineRule="auto"/>
        <w:jc w:val="both"/>
        <w:rPr>
          <w:rFonts w:ascii="Times New Roman" w:hAnsi="Times New Roman" w:cs="Times New Roman"/>
        </w:rPr>
      </w:pPr>
    </w:p>
    <w:p w14:paraId="4849E365" w14:textId="0CC5B571" w:rsidR="00A12967" w:rsidRPr="00F75D4E" w:rsidRDefault="00A12967" w:rsidP="00A1296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75D4E">
        <w:rPr>
          <w:rFonts w:ascii="Times New Roman" w:hAnsi="Times New Roman" w:cs="Times New Roman"/>
          <w:b/>
          <w:bCs/>
        </w:rPr>
        <w:t>JUSTIFICATIVA DE PREÇO</w:t>
      </w:r>
    </w:p>
    <w:p w14:paraId="5298669A" w14:textId="02EA6ADC" w:rsidR="00A3451E" w:rsidRPr="00F75D4E" w:rsidRDefault="00A12967" w:rsidP="004156E5">
      <w:pPr>
        <w:spacing w:line="276" w:lineRule="auto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O preço praticado pelo fornecedor (Informar Fornecedor a ser contratado) é compatível com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o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valor de mercado, conforme (IN SEGES/ME nº 65/2021, art. 7º):</w:t>
      </w:r>
    </w:p>
    <w:p w14:paraId="317E7E13" w14:textId="1E0A4F25" w:rsidR="004156E5" w:rsidRPr="00F75D4E" w:rsidRDefault="006E26AA" w:rsidP="004156E5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F75D4E">
        <w:rPr>
          <w:rFonts w:ascii="Times New Roman" w:hAnsi="Times New Roman" w:cs="Times New Roman"/>
        </w:rPr>
        <w:t>(</w:t>
      </w:r>
      <w:r w:rsidR="009F2270" w:rsidRPr="00F75D4E">
        <w:rPr>
          <w:rFonts w:ascii="Times New Roman" w:hAnsi="Times New Roman" w:cs="Times New Roman"/>
        </w:rPr>
        <w:t>__</w:t>
      </w:r>
      <w:r w:rsidRPr="00F75D4E">
        <w:rPr>
          <w:rFonts w:ascii="Times New Roman" w:hAnsi="Times New Roman" w:cs="Times New Roman"/>
        </w:rPr>
        <w:t xml:space="preserve">) </w:t>
      </w:r>
      <w:r w:rsidRPr="00F75D4E">
        <w:rPr>
          <w:rFonts w:ascii="Times New Roman" w:hAnsi="Times New Roman" w:cs="Times New Roman"/>
        </w:rPr>
        <w:t>Documentos fiscais ou instrumentos contratuais de objetos idênticos, comercializados pela futura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contratada, emitidos no período de até 1 (um) ano anterior à data da autorização da inexigibilidade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pela autoridade competente, conforme documento(s) (informar nº S</w:t>
      </w:r>
      <w:r w:rsidRPr="00F75D4E">
        <w:rPr>
          <w:rFonts w:ascii="Times New Roman" w:hAnsi="Times New Roman" w:cs="Times New Roman"/>
        </w:rPr>
        <w:t>IPAC</w:t>
      </w:r>
      <w:r w:rsidRPr="00F75D4E">
        <w:rPr>
          <w:rFonts w:ascii="Times New Roman" w:hAnsi="Times New Roman" w:cs="Times New Roman"/>
        </w:rPr>
        <w:t>).</w:t>
      </w:r>
      <w:r w:rsidR="00E2689C" w:rsidRPr="00F75D4E">
        <w:rPr>
          <w:rFonts w:ascii="Times New Roman" w:hAnsi="Times New Roman" w:cs="Times New Roman"/>
        </w:rPr>
        <w:t xml:space="preserve"> </w:t>
      </w:r>
      <w:r w:rsidR="00E2689C" w:rsidRPr="00F75D4E">
        <w:rPr>
          <w:rFonts w:ascii="Times New Roman" w:hAnsi="Times New Roman" w:cs="Times New Roman"/>
          <w:b/>
          <w:bCs/>
          <w:i/>
          <w:iCs/>
        </w:rPr>
        <w:t>“</w:t>
      </w:r>
      <w:r w:rsidR="00E2689C" w:rsidRPr="00F75D4E">
        <w:rPr>
          <w:rFonts w:ascii="Times New Roman" w:hAnsi="Times New Roman" w:cs="Times New Roman"/>
          <w:b/>
          <w:bCs/>
          <w:i/>
          <w:iCs/>
        </w:rPr>
        <w:t>IN SEGES/ME nº 65/2021, art. 7º</w:t>
      </w:r>
      <w:r w:rsidR="00E2689C" w:rsidRPr="00F75D4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E2689C" w:rsidRPr="00F75D4E">
        <w:rPr>
          <w:rFonts w:ascii="Times New Roman" w:hAnsi="Times New Roman" w:cs="Times New Roman"/>
          <w:b/>
          <w:bCs/>
          <w:i/>
          <w:iCs/>
        </w:rPr>
        <w:t>§ 1º</w:t>
      </w:r>
      <w:r w:rsidR="00E2689C" w:rsidRPr="00F75D4E">
        <w:rPr>
          <w:rFonts w:ascii="Times New Roman" w:hAnsi="Times New Roman" w:cs="Times New Roman"/>
          <w:b/>
          <w:bCs/>
          <w:i/>
          <w:iCs/>
        </w:rPr>
        <w:t xml:space="preserve"> ”</w:t>
      </w:r>
    </w:p>
    <w:p w14:paraId="20381143" w14:textId="00DDE7C4" w:rsidR="00F268AD" w:rsidRPr="00F75D4E" w:rsidRDefault="00007649" w:rsidP="00F268AD">
      <w:pPr>
        <w:spacing w:line="276" w:lineRule="auto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 xml:space="preserve">(__) </w:t>
      </w:r>
      <w:r w:rsidR="00F16DC3" w:rsidRPr="00F75D4E">
        <w:rPr>
          <w:rFonts w:ascii="Times New Roman" w:hAnsi="Times New Roman" w:cs="Times New Roman"/>
        </w:rPr>
        <w:t>O</w:t>
      </w:r>
      <w:r w:rsidR="00F16DC3" w:rsidRPr="00F75D4E">
        <w:rPr>
          <w:rFonts w:ascii="Times New Roman" w:hAnsi="Times New Roman" w:cs="Times New Roman"/>
        </w:rPr>
        <w:t>utros critérios ou métodos</w:t>
      </w:r>
      <w:r w:rsidR="00F16DC3" w:rsidRPr="00F75D4E">
        <w:rPr>
          <w:rFonts w:ascii="Times New Roman" w:hAnsi="Times New Roman" w:cs="Times New Roman"/>
        </w:rPr>
        <w:t xml:space="preserve"> ( </w:t>
      </w:r>
      <w:r w:rsidR="00F16DC3" w:rsidRPr="00F75D4E">
        <w:rPr>
          <w:rFonts w:ascii="Times New Roman" w:hAnsi="Times New Roman" w:cs="Times New Roman"/>
        </w:rPr>
        <w:t xml:space="preserve">IN SEGES/ME nº 65/2021, art. </w:t>
      </w:r>
      <w:r w:rsidR="00F16DC3" w:rsidRPr="00F75D4E">
        <w:rPr>
          <w:rFonts w:ascii="Times New Roman" w:hAnsi="Times New Roman" w:cs="Times New Roman"/>
        </w:rPr>
        <w:t>5</w:t>
      </w:r>
      <w:r w:rsidR="00F16DC3" w:rsidRPr="00F75D4E">
        <w:rPr>
          <w:rFonts w:ascii="Times New Roman" w:hAnsi="Times New Roman" w:cs="Times New Roman"/>
        </w:rPr>
        <w:t>º</w:t>
      </w:r>
      <w:r w:rsidR="00F16DC3" w:rsidRPr="00F75D4E">
        <w:rPr>
          <w:rFonts w:ascii="Times New Roman" w:hAnsi="Times New Roman" w:cs="Times New Roman"/>
        </w:rPr>
        <w:t>)</w:t>
      </w:r>
      <w:r w:rsidR="00F268AD" w:rsidRPr="00F75D4E">
        <w:rPr>
          <w:rFonts w:ascii="Times New Roman" w:hAnsi="Times New Roman" w:cs="Times New Roman"/>
        </w:rPr>
        <w:t>:</w:t>
      </w:r>
    </w:p>
    <w:p w14:paraId="01764403" w14:textId="68DDCE16" w:rsidR="00F16DC3" w:rsidRPr="00F75D4E" w:rsidRDefault="00F16DC3" w:rsidP="000D4041">
      <w:pPr>
        <w:pStyle w:val="PargrafodaLista"/>
        <w:numPr>
          <w:ilvl w:val="0"/>
          <w:numId w:val="6"/>
        </w:numPr>
        <w:shd w:val="clear" w:color="auto" w:fill="E7E6E6" w:themeFill="background2"/>
        <w:spacing w:line="276" w:lineRule="auto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Excepcionalmente, caso a futura contratada não tenha comercializado o objeto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anteriormente, a justificativa de preço pode ser realizada com objetos de mesma natureza (INSEGES/ME nº 65/2021, art. 7º, § 2º).</w:t>
      </w:r>
    </w:p>
    <w:p w14:paraId="2B42362B" w14:textId="11076B09" w:rsidR="00BC7891" w:rsidRPr="00F75D4E" w:rsidRDefault="00F16DC3" w:rsidP="00BC7891">
      <w:pPr>
        <w:pStyle w:val="PargrafodaLista"/>
        <w:numPr>
          <w:ilvl w:val="0"/>
          <w:numId w:val="6"/>
        </w:numPr>
        <w:shd w:val="clear" w:color="auto" w:fill="E7E6E6" w:themeFill="background2"/>
        <w:spacing w:line="276" w:lineRule="auto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Fica vedada a contratação direta por inexigibilidade caso a justificativa de preços demonstre a possibilidade de competição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 xml:space="preserve">(INSEGES/ME nº 65/2021, art. 7º, § </w:t>
      </w:r>
      <w:r w:rsidRPr="00F75D4E">
        <w:rPr>
          <w:rFonts w:ascii="Times New Roman" w:hAnsi="Times New Roman" w:cs="Times New Roman"/>
        </w:rPr>
        <w:t>3</w:t>
      </w:r>
      <w:r w:rsidRPr="00F75D4E">
        <w:rPr>
          <w:rFonts w:ascii="Times New Roman" w:hAnsi="Times New Roman" w:cs="Times New Roman"/>
        </w:rPr>
        <w:t>º).</w:t>
      </w:r>
    </w:p>
    <w:p w14:paraId="79B2F6B9" w14:textId="77777777" w:rsidR="00BC7891" w:rsidRPr="00F75D4E" w:rsidRDefault="00BC7891" w:rsidP="00BC7891">
      <w:pPr>
        <w:spacing w:line="276" w:lineRule="auto"/>
        <w:jc w:val="both"/>
        <w:rPr>
          <w:rFonts w:ascii="Times New Roman" w:hAnsi="Times New Roman" w:cs="Times New Roman"/>
        </w:rPr>
      </w:pPr>
    </w:p>
    <w:p w14:paraId="3D47F467" w14:textId="7E4C76C7" w:rsidR="00BC7891" w:rsidRPr="00F75D4E" w:rsidRDefault="00BC7891" w:rsidP="00BC7891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75D4E">
        <w:rPr>
          <w:rFonts w:ascii="Times New Roman" w:hAnsi="Times New Roman" w:cs="Times New Roman"/>
          <w:b/>
          <w:bCs/>
        </w:rPr>
        <w:t>RAZÃO DA ESCOLHA DO FORNECEDOR (COMPROVAÇÃO DA INEXIGIBILIDADE)</w:t>
      </w:r>
    </w:p>
    <w:p w14:paraId="46C4E8F4" w14:textId="3FDCFB36" w:rsidR="00BC7891" w:rsidRPr="00F75D4E" w:rsidRDefault="005F5014" w:rsidP="005F501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Para a aquisição/contratação de (especificar demanda), justifica-se a contratação do fornecedor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(informar fornecedor a ser contratado), CNPJ nº (informar CNPJ), por inexigibilidade, conforme opção</w:t>
      </w:r>
      <w:r w:rsidRPr="00F75D4E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>selecionada abaixo:</w:t>
      </w:r>
    </w:p>
    <w:p w14:paraId="1602AC43" w14:textId="6511C7C3" w:rsidR="00E8310B" w:rsidRPr="00F75D4E" w:rsidRDefault="00E8310B" w:rsidP="00B323E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75D4E">
        <w:rPr>
          <w:rFonts w:ascii="Times New Roman" w:hAnsi="Times New Roman" w:cs="Times New Roman"/>
        </w:rPr>
        <w:t>–</w:t>
      </w:r>
      <w:r w:rsidR="00B323EA" w:rsidRPr="00F75D4E">
        <w:rPr>
          <w:rFonts w:ascii="Times New Roman" w:hAnsi="Times New Roman" w:cs="Times New Roman"/>
        </w:rPr>
        <w:t xml:space="preserve"> </w:t>
      </w:r>
      <w:r w:rsidR="00B323EA" w:rsidRPr="00F75D4E">
        <w:rPr>
          <w:rFonts w:ascii="Times New Roman" w:hAnsi="Times New Roman" w:cs="Times New Roman"/>
        </w:rPr>
        <w:t>Em se tratando de aquisição de materiais, de equipamentos ou de gêneros ou contratação</w:t>
      </w:r>
      <w:r w:rsidR="00B323EA" w:rsidRPr="00F75D4E">
        <w:rPr>
          <w:rFonts w:ascii="Times New Roman" w:hAnsi="Times New Roman" w:cs="Times New Roman"/>
        </w:rPr>
        <w:t xml:space="preserve"> </w:t>
      </w:r>
      <w:r w:rsidR="00B323EA" w:rsidRPr="00F75D4E">
        <w:rPr>
          <w:rFonts w:ascii="Times New Roman" w:hAnsi="Times New Roman" w:cs="Times New Roman"/>
        </w:rPr>
        <w:t>de</w:t>
      </w:r>
      <w:r w:rsidR="00B323EA" w:rsidRPr="00F75D4E">
        <w:rPr>
          <w:rFonts w:ascii="Times New Roman" w:hAnsi="Times New Roman" w:cs="Times New Roman"/>
        </w:rPr>
        <w:t xml:space="preserve"> </w:t>
      </w:r>
      <w:r w:rsidR="00B323EA" w:rsidRPr="00F75D4E">
        <w:rPr>
          <w:rFonts w:ascii="Times New Roman" w:hAnsi="Times New Roman" w:cs="Times New Roman"/>
        </w:rPr>
        <w:t xml:space="preserve">serviços que só possam ser fornecidos por produtor, empresa ou representante comercial exclusivos, nos termos do art. 74, inciso I, da Lei nº 14.133/2021, foi verificada e confirmada a </w:t>
      </w:r>
      <w:r w:rsidR="00B323EA" w:rsidRPr="00F75D4E">
        <w:rPr>
          <w:rFonts w:ascii="Times New Roman" w:hAnsi="Times New Roman" w:cs="Times New Roman"/>
        </w:rPr>
        <w:lastRenderedPageBreak/>
        <w:t>veracidade da</w:t>
      </w:r>
      <w:r w:rsidR="00B323EA" w:rsidRPr="00F75D4E">
        <w:rPr>
          <w:rFonts w:ascii="Times New Roman" w:hAnsi="Times New Roman" w:cs="Times New Roman"/>
        </w:rPr>
        <w:t xml:space="preserve"> </w:t>
      </w:r>
      <w:r w:rsidR="00B323EA" w:rsidRPr="00F75D4E">
        <w:rPr>
          <w:rFonts w:ascii="Times New Roman" w:hAnsi="Times New Roman" w:cs="Times New Roman"/>
        </w:rPr>
        <w:t>documentação comprobatória da condição de exclusividade da pessoa jurídica a ser habilitada neste</w:t>
      </w:r>
      <w:r w:rsidR="00B323EA" w:rsidRPr="00F75D4E">
        <w:rPr>
          <w:rFonts w:ascii="Times New Roman" w:hAnsi="Times New Roman" w:cs="Times New Roman"/>
        </w:rPr>
        <w:t xml:space="preserve"> </w:t>
      </w:r>
      <w:r w:rsidR="00B323EA" w:rsidRPr="00F75D4E">
        <w:rPr>
          <w:rFonts w:ascii="Times New Roman" w:hAnsi="Times New Roman" w:cs="Times New Roman"/>
        </w:rPr>
        <w:t>processo por meio de:</w:t>
      </w:r>
    </w:p>
    <w:p w14:paraId="69B410FF" w14:textId="290B0A9B" w:rsidR="00F75D4E" w:rsidRDefault="00F75D4E" w:rsidP="00F75D4E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75D4E">
        <w:rPr>
          <w:rFonts w:ascii="Times New Roman" w:hAnsi="Times New Roman" w:cs="Times New Roman"/>
        </w:rPr>
        <w:t xml:space="preserve">(__) </w:t>
      </w:r>
      <w:r w:rsidRPr="00F75D4E">
        <w:rPr>
          <w:rFonts w:ascii="Times New Roman" w:hAnsi="Times New Roman" w:cs="Times New Roman"/>
        </w:rPr>
        <w:t>Atestado ou Contrato de exclusividade</w:t>
      </w:r>
      <w:r w:rsidRPr="00F75D4E">
        <w:rPr>
          <w:rFonts w:ascii="Times New Roman" w:hAnsi="Times New Roman" w:cs="Times New Roman"/>
        </w:rPr>
        <w:t xml:space="preserve"> ( </w:t>
      </w:r>
      <w:r w:rsidR="00FB74D6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FB74D6">
        <w:rPr>
          <w:rFonts w:ascii="Times New Roman" w:hAnsi="Times New Roman" w:cs="Times New Roman"/>
          <w:sz w:val="20"/>
          <w:szCs w:val="20"/>
        </w:rPr>
        <w:t>IPAC</w:t>
      </w:r>
      <w:r w:rsidR="00FB74D6">
        <w:rPr>
          <w:rFonts w:ascii="Times New Roman" w:hAnsi="Times New Roman" w:cs="Times New Roman"/>
          <w:sz w:val="20"/>
          <w:szCs w:val="20"/>
        </w:rPr>
        <w:t>)</w:t>
      </w:r>
    </w:p>
    <w:p w14:paraId="729334EA" w14:textId="1ACC5086" w:rsidR="00B367B2" w:rsidRDefault="00B367B2" w:rsidP="00B367B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75D4E">
        <w:rPr>
          <w:rFonts w:ascii="Times New Roman" w:hAnsi="Times New Roman" w:cs="Times New Roman"/>
        </w:rPr>
        <w:t xml:space="preserve">(__) </w:t>
      </w:r>
      <w:r w:rsidRPr="00B367B2">
        <w:rPr>
          <w:rFonts w:ascii="Times New Roman" w:hAnsi="Times New Roman" w:cs="Times New Roman"/>
        </w:rPr>
        <w:t>Declaração do fabricante ou outro documento idôneo capaz de comprovar que o objeto</w:t>
      </w:r>
      <w:r>
        <w:rPr>
          <w:rFonts w:ascii="Times New Roman" w:hAnsi="Times New Roman" w:cs="Times New Roman"/>
        </w:rPr>
        <w:t xml:space="preserve"> </w:t>
      </w:r>
      <w:r w:rsidRPr="00B367B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</w:t>
      </w:r>
      <w:r w:rsidRPr="00B367B2">
        <w:rPr>
          <w:rFonts w:ascii="Times New Roman" w:hAnsi="Times New Roman" w:cs="Times New Roman"/>
        </w:rPr>
        <w:t>fornecido ou prestado por produtor, empresa ou representante comercial exclusivos (vedada a</w:t>
      </w:r>
      <w:r>
        <w:rPr>
          <w:rFonts w:ascii="Times New Roman" w:hAnsi="Times New Roman" w:cs="Times New Roman"/>
        </w:rPr>
        <w:t xml:space="preserve"> </w:t>
      </w:r>
      <w:r w:rsidRPr="00B367B2">
        <w:rPr>
          <w:rFonts w:ascii="Times New Roman" w:hAnsi="Times New Roman" w:cs="Times New Roman"/>
        </w:rPr>
        <w:t>preferência por marca específica)</w:t>
      </w:r>
      <w:r w:rsidRPr="00B367B2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 xml:space="preserve">( </w:t>
      </w:r>
      <w:r w:rsidRPr="006E26AA">
        <w:rPr>
          <w:rFonts w:ascii="Times New Roman" w:hAnsi="Times New Roman" w:cs="Times New Roman"/>
          <w:sz w:val="20"/>
          <w:szCs w:val="20"/>
        </w:rPr>
        <w:t>informar nº S</w:t>
      </w:r>
      <w:r>
        <w:rPr>
          <w:rFonts w:ascii="Times New Roman" w:hAnsi="Times New Roman" w:cs="Times New Roman"/>
          <w:sz w:val="20"/>
          <w:szCs w:val="20"/>
        </w:rPr>
        <w:t>IPAC)</w:t>
      </w:r>
    </w:p>
    <w:p w14:paraId="2E0F3CC0" w14:textId="50E74459" w:rsidR="00272BAD" w:rsidRPr="00272BAD" w:rsidRDefault="00272BAD" w:rsidP="0027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line="276" w:lineRule="auto"/>
        <w:jc w:val="both"/>
        <w:rPr>
          <w:rFonts w:ascii="Times New Roman" w:hAnsi="Times New Roman" w:cs="Times New Roman"/>
        </w:rPr>
      </w:pPr>
      <w:r w:rsidRPr="00272BAD">
        <w:rPr>
          <w:rFonts w:ascii="Times New Roman" w:hAnsi="Times New Roman" w:cs="Times New Roman"/>
        </w:rPr>
        <w:t>Observações:</w:t>
      </w:r>
      <w:r>
        <w:rPr>
          <w:rFonts w:ascii="Times New Roman" w:hAnsi="Times New Roman" w:cs="Times New Roman"/>
        </w:rPr>
        <w:t xml:space="preserve"> </w:t>
      </w:r>
    </w:p>
    <w:p w14:paraId="2516654D" w14:textId="278CE5A1" w:rsidR="00FB74D6" w:rsidRDefault="00272BAD" w:rsidP="00272BAD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2BAD">
        <w:rPr>
          <w:rFonts w:ascii="Times New Roman" w:hAnsi="Times New Roman" w:cs="Times New Roman"/>
        </w:rPr>
        <w:t xml:space="preserve"> Atenção para o prazo de validade/vigência dos documentos.</w:t>
      </w:r>
    </w:p>
    <w:p w14:paraId="6E9BDF2F" w14:textId="5DCD9C36" w:rsidR="00272BAD" w:rsidRDefault="00272BAD" w:rsidP="00272BAD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2BAD">
        <w:rPr>
          <w:rFonts w:ascii="Times New Roman" w:hAnsi="Times New Roman" w:cs="Times New Roman"/>
        </w:rPr>
        <w:t>Anexar documento que confirme a veracidade da documentação comprobatória da condição de</w:t>
      </w:r>
      <w:r>
        <w:rPr>
          <w:rFonts w:ascii="Times New Roman" w:hAnsi="Times New Roman" w:cs="Times New Roman"/>
        </w:rPr>
        <w:t xml:space="preserve"> </w:t>
      </w:r>
      <w:r w:rsidRPr="00272BAD">
        <w:rPr>
          <w:rFonts w:ascii="Times New Roman" w:hAnsi="Times New Roman" w:cs="Times New Roman"/>
        </w:rPr>
        <w:t>exclusividade. Ex.: e-mail de confirmação da entidade emissora de Declaração de Exclusividade.</w:t>
      </w:r>
    </w:p>
    <w:p w14:paraId="68A78ECC" w14:textId="4C128E69" w:rsidR="00272BAD" w:rsidRDefault="00272BAD" w:rsidP="00272BAD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2BAD">
        <w:rPr>
          <w:rFonts w:ascii="Times New Roman" w:hAnsi="Times New Roman" w:cs="Times New Roman"/>
        </w:rPr>
        <w:t>É vedado aceitar carta de exclusividade emitida pelos próprios fabricantes, fornecedores ou</w:t>
      </w:r>
      <w:r>
        <w:rPr>
          <w:rFonts w:ascii="Times New Roman" w:hAnsi="Times New Roman" w:cs="Times New Roman"/>
        </w:rPr>
        <w:t xml:space="preserve"> </w:t>
      </w:r>
      <w:r w:rsidRPr="00272BAD">
        <w:rPr>
          <w:rFonts w:ascii="Times New Roman" w:hAnsi="Times New Roman" w:cs="Times New Roman"/>
        </w:rPr>
        <w:t>prestadores de serviços (IN SGD/ME nº 94/2022, art. 5º, XII).</w:t>
      </w:r>
    </w:p>
    <w:p w14:paraId="1612CDE7" w14:textId="77777777" w:rsidR="00272BAD" w:rsidRPr="00272BAD" w:rsidRDefault="00272BAD" w:rsidP="00272BAD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72BAD">
        <w:rPr>
          <w:rFonts w:ascii="Times New Roman" w:hAnsi="Times New Roman" w:cs="Times New Roman"/>
          <w:b/>
          <w:bCs/>
          <w:u w:val="single"/>
        </w:rPr>
        <w:t>Súmula 255/2010 - TCU</w:t>
      </w:r>
    </w:p>
    <w:p w14:paraId="12FA6A22" w14:textId="27B0117C" w:rsidR="00272BAD" w:rsidRDefault="00272BAD" w:rsidP="00F13A60">
      <w:pPr>
        <w:spacing w:line="276" w:lineRule="auto"/>
        <w:jc w:val="both"/>
        <w:rPr>
          <w:rFonts w:ascii="Times New Roman" w:hAnsi="Times New Roman" w:cs="Times New Roman"/>
        </w:rPr>
      </w:pPr>
      <w:r w:rsidRPr="00272BAD">
        <w:rPr>
          <w:rFonts w:ascii="Times New Roman" w:hAnsi="Times New Roman" w:cs="Times New Roman"/>
        </w:rPr>
        <w:t>Nas contratações em que o objeto só possa ser fornecido por produtor, empresa ou representante</w:t>
      </w:r>
      <w:r>
        <w:rPr>
          <w:rFonts w:ascii="Times New Roman" w:hAnsi="Times New Roman" w:cs="Times New Roman"/>
        </w:rPr>
        <w:t xml:space="preserve"> </w:t>
      </w:r>
      <w:r w:rsidRPr="00272BAD">
        <w:rPr>
          <w:rFonts w:ascii="Times New Roman" w:hAnsi="Times New Roman" w:cs="Times New Roman"/>
        </w:rPr>
        <w:t>comercial exclusivo, é dever do agente público responsável pela contratação a adoção das providências</w:t>
      </w:r>
      <w:r>
        <w:rPr>
          <w:rFonts w:ascii="Times New Roman" w:hAnsi="Times New Roman" w:cs="Times New Roman"/>
        </w:rPr>
        <w:t xml:space="preserve"> </w:t>
      </w:r>
      <w:r w:rsidRPr="00272BAD">
        <w:rPr>
          <w:rFonts w:ascii="Times New Roman" w:hAnsi="Times New Roman" w:cs="Times New Roman"/>
        </w:rPr>
        <w:t>necessárias para confirmar a veracidade da documentação comprobatória da condição de</w:t>
      </w:r>
      <w:r>
        <w:rPr>
          <w:rFonts w:ascii="Times New Roman" w:hAnsi="Times New Roman" w:cs="Times New Roman"/>
        </w:rPr>
        <w:t xml:space="preserve"> </w:t>
      </w:r>
      <w:r w:rsidRPr="00272BAD">
        <w:rPr>
          <w:rFonts w:ascii="Times New Roman" w:hAnsi="Times New Roman" w:cs="Times New Roman"/>
        </w:rPr>
        <w:t>exclusividade.</w:t>
      </w:r>
    </w:p>
    <w:p w14:paraId="1C40B228" w14:textId="77777777" w:rsidR="006E53DA" w:rsidRDefault="006E53DA" w:rsidP="00F13A60">
      <w:pPr>
        <w:spacing w:line="276" w:lineRule="auto"/>
        <w:jc w:val="both"/>
        <w:rPr>
          <w:rFonts w:ascii="Times New Roman" w:hAnsi="Times New Roman" w:cs="Times New Roman"/>
        </w:rPr>
      </w:pPr>
    </w:p>
    <w:p w14:paraId="41D7C177" w14:textId="7C911C8C" w:rsidR="00DC6B15" w:rsidRDefault="00DC6B15" w:rsidP="00DC6B15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DC6B15">
        <w:rPr>
          <w:rFonts w:ascii="Times New Roman" w:hAnsi="Times New Roman" w:cs="Times New Roman"/>
        </w:rPr>
        <w:t>Em se tratando de contratação de serviços técnicos, especializados, de natureza</w:t>
      </w:r>
      <w:r>
        <w:rPr>
          <w:rFonts w:ascii="Times New Roman" w:hAnsi="Times New Roman" w:cs="Times New Roman"/>
        </w:rPr>
        <w:t xml:space="preserve"> </w:t>
      </w:r>
      <w:r w:rsidRPr="00DC6B15">
        <w:rPr>
          <w:rFonts w:ascii="Times New Roman" w:hAnsi="Times New Roman" w:cs="Times New Roman"/>
        </w:rPr>
        <w:t>predominantemente intelectual, com profissionais ou empresas de notória especialização*, nos</w:t>
      </w:r>
      <w:r>
        <w:rPr>
          <w:rFonts w:ascii="Times New Roman" w:hAnsi="Times New Roman" w:cs="Times New Roman"/>
        </w:rPr>
        <w:t xml:space="preserve"> </w:t>
      </w:r>
      <w:r w:rsidRPr="00DC6B15">
        <w:rPr>
          <w:rFonts w:ascii="Times New Roman" w:hAnsi="Times New Roman" w:cs="Times New Roman"/>
        </w:rPr>
        <w:t>termos do art. 74, inciso III, da Lei nº 14.133/2021, foi verificada e confirmada a notória</w:t>
      </w:r>
      <w:r>
        <w:rPr>
          <w:rFonts w:ascii="Times New Roman" w:hAnsi="Times New Roman" w:cs="Times New Roman"/>
        </w:rPr>
        <w:t xml:space="preserve"> </w:t>
      </w:r>
      <w:r w:rsidRPr="00DC6B15">
        <w:rPr>
          <w:rFonts w:ascii="Times New Roman" w:hAnsi="Times New Roman" w:cs="Times New Roman"/>
        </w:rPr>
        <w:t>especialização do profissional ou empresa por meio de:</w:t>
      </w:r>
    </w:p>
    <w:p w14:paraId="6EFFF45F" w14:textId="16186293" w:rsidR="00057F38" w:rsidRDefault="00057F38" w:rsidP="00057F3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(__)  </w:t>
      </w:r>
      <w:r w:rsidRPr="00057F38">
        <w:rPr>
          <w:rFonts w:ascii="Times New Roman" w:hAnsi="Times New Roman" w:cs="Times New Roman"/>
        </w:rPr>
        <w:t>Atestado/Declaração de Capacidade Técnica</w:t>
      </w:r>
      <w:r>
        <w:rPr>
          <w:rFonts w:ascii="Times New Roman" w:hAnsi="Times New Roman" w:cs="Times New Roman"/>
        </w:rPr>
        <w:t xml:space="preserve"> </w:t>
      </w:r>
      <w:bookmarkStart w:id="0" w:name="_Hlk140053721"/>
      <w:r w:rsidRPr="00F75D4E">
        <w:rPr>
          <w:rFonts w:ascii="Times New Roman" w:hAnsi="Times New Roman" w:cs="Times New Roman"/>
        </w:rPr>
        <w:t xml:space="preserve">( </w:t>
      </w:r>
      <w:r w:rsidRPr="006E26AA">
        <w:rPr>
          <w:rFonts w:ascii="Times New Roman" w:hAnsi="Times New Roman" w:cs="Times New Roman"/>
          <w:sz w:val="20"/>
          <w:szCs w:val="20"/>
        </w:rPr>
        <w:t>informar nº S</w:t>
      </w:r>
      <w:r>
        <w:rPr>
          <w:rFonts w:ascii="Times New Roman" w:hAnsi="Times New Roman" w:cs="Times New Roman"/>
          <w:sz w:val="20"/>
          <w:szCs w:val="20"/>
        </w:rPr>
        <w:t>IPAC)</w:t>
      </w:r>
      <w:bookmarkEnd w:id="0"/>
    </w:p>
    <w:p w14:paraId="5C6C144C" w14:textId="49DB5DFC" w:rsidR="00057F38" w:rsidRDefault="00057F38" w:rsidP="00057F3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(__) </w:t>
      </w:r>
      <w:r w:rsidRPr="00057F38">
        <w:rPr>
          <w:rFonts w:ascii="Times New Roman" w:hAnsi="Times New Roman" w:cs="Times New Roman"/>
        </w:rPr>
        <w:t>Currículo do(s) profissional(is)</w:t>
      </w:r>
      <w:r w:rsidRPr="00057F38"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 xml:space="preserve">( </w:t>
      </w:r>
      <w:r w:rsidRPr="006E26AA">
        <w:rPr>
          <w:rFonts w:ascii="Times New Roman" w:hAnsi="Times New Roman" w:cs="Times New Roman"/>
          <w:sz w:val="20"/>
          <w:szCs w:val="20"/>
        </w:rPr>
        <w:t>informar nº S</w:t>
      </w:r>
      <w:r>
        <w:rPr>
          <w:rFonts w:ascii="Times New Roman" w:hAnsi="Times New Roman" w:cs="Times New Roman"/>
          <w:sz w:val="20"/>
          <w:szCs w:val="20"/>
        </w:rPr>
        <w:t>IPAC)</w:t>
      </w:r>
    </w:p>
    <w:p w14:paraId="09BC837A" w14:textId="70ADD5C0" w:rsidR="00057F38" w:rsidRDefault="00057F38" w:rsidP="00057F3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(__) </w:t>
      </w:r>
      <w:r w:rsidRPr="00057F38">
        <w:rPr>
          <w:rFonts w:ascii="Times New Roman" w:hAnsi="Times New Roman" w:cs="Times New Roman"/>
        </w:rPr>
        <w:t>Comprovação de estrutura e/ou equipe técnica</w:t>
      </w:r>
      <w:r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 xml:space="preserve">( </w:t>
      </w:r>
      <w:r w:rsidRPr="006E26AA">
        <w:rPr>
          <w:rFonts w:ascii="Times New Roman" w:hAnsi="Times New Roman" w:cs="Times New Roman"/>
          <w:sz w:val="20"/>
          <w:szCs w:val="20"/>
        </w:rPr>
        <w:t>informar nº S</w:t>
      </w:r>
      <w:r>
        <w:rPr>
          <w:rFonts w:ascii="Times New Roman" w:hAnsi="Times New Roman" w:cs="Times New Roman"/>
          <w:sz w:val="20"/>
          <w:szCs w:val="20"/>
        </w:rPr>
        <w:t>IPAC)</w:t>
      </w:r>
    </w:p>
    <w:p w14:paraId="2BA29AD5" w14:textId="382A1D95" w:rsidR="00057F38" w:rsidRDefault="00057F38" w:rsidP="00057F38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(__) </w:t>
      </w:r>
      <w:r w:rsidRPr="00057F38">
        <w:rPr>
          <w:rFonts w:ascii="Times New Roman" w:hAnsi="Times New Roman" w:cs="Times New Roman"/>
        </w:rPr>
        <w:t>Outros meios: (especificar)</w:t>
      </w:r>
      <w:r>
        <w:rPr>
          <w:rFonts w:ascii="Times New Roman" w:hAnsi="Times New Roman" w:cs="Times New Roman"/>
        </w:rPr>
        <w:t xml:space="preserve"> </w:t>
      </w:r>
      <w:r w:rsidRPr="00F75D4E">
        <w:rPr>
          <w:rFonts w:ascii="Times New Roman" w:hAnsi="Times New Roman" w:cs="Times New Roman"/>
        </w:rPr>
        <w:t xml:space="preserve">( </w:t>
      </w:r>
      <w:r w:rsidRPr="006E26AA">
        <w:rPr>
          <w:rFonts w:ascii="Times New Roman" w:hAnsi="Times New Roman" w:cs="Times New Roman"/>
          <w:sz w:val="20"/>
          <w:szCs w:val="20"/>
        </w:rPr>
        <w:t>informar nº S</w:t>
      </w:r>
      <w:r>
        <w:rPr>
          <w:rFonts w:ascii="Times New Roman" w:hAnsi="Times New Roman" w:cs="Times New Roman"/>
          <w:sz w:val="20"/>
          <w:szCs w:val="20"/>
        </w:rPr>
        <w:t>IPAC)</w:t>
      </w:r>
    </w:p>
    <w:p w14:paraId="2F99F90E" w14:textId="2A193F16" w:rsidR="00464CDD" w:rsidRDefault="00CB6A58" w:rsidP="00464CDD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B6A58">
        <w:rPr>
          <w:rFonts w:ascii="Times New Roman" w:hAnsi="Times New Roman" w:cs="Times New Roman"/>
        </w:rPr>
        <w:t>* Considera-se de notória especialização o profissional ou a empresa cujo conceito no campo de sua</w:t>
      </w:r>
      <w:r>
        <w:rPr>
          <w:rFonts w:ascii="Times New Roman" w:hAnsi="Times New Roman" w:cs="Times New Roman"/>
        </w:rPr>
        <w:t xml:space="preserve"> </w:t>
      </w:r>
      <w:r w:rsidRPr="00CB6A58">
        <w:rPr>
          <w:rFonts w:ascii="Times New Roman" w:hAnsi="Times New Roman" w:cs="Times New Roman"/>
        </w:rPr>
        <w:t>especialidade, decorrente de desempenho anterior, estudos, experiência, publicações, organização, aparelhamento, equipe técnica ou outros requisitos relacionados com suas atividades, permita inferir</w:t>
      </w:r>
      <w:r>
        <w:rPr>
          <w:rFonts w:ascii="Times New Roman" w:hAnsi="Times New Roman" w:cs="Times New Roman"/>
        </w:rPr>
        <w:t xml:space="preserve"> </w:t>
      </w:r>
      <w:r w:rsidRPr="00CB6A58">
        <w:rPr>
          <w:rFonts w:ascii="Times New Roman" w:hAnsi="Times New Roman" w:cs="Times New Roman"/>
        </w:rPr>
        <w:t>que o seu trabalho é essencial e reconhecidamente adequado à plena satisfação do objeto do</w:t>
      </w:r>
      <w:r>
        <w:rPr>
          <w:rFonts w:ascii="Times New Roman" w:hAnsi="Times New Roman" w:cs="Times New Roman"/>
        </w:rPr>
        <w:t xml:space="preserve"> </w:t>
      </w:r>
      <w:r w:rsidRPr="00CB6A58">
        <w:rPr>
          <w:rFonts w:ascii="Times New Roman" w:hAnsi="Times New Roman" w:cs="Times New Roman"/>
        </w:rPr>
        <w:t>contrato.</w:t>
      </w:r>
    </w:p>
    <w:p w14:paraId="3B9053EF" w14:textId="627608D2" w:rsidR="00464CDD" w:rsidRDefault="00464CDD" w:rsidP="00464CDD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30450">
        <w:rPr>
          <w:rFonts w:ascii="Times New Roman" w:hAnsi="Times New Roman" w:cs="Times New Roman"/>
          <w:b/>
          <w:bCs/>
        </w:rPr>
        <w:t>2.3</w:t>
      </w:r>
      <w:r>
        <w:rPr>
          <w:rFonts w:ascii="Times New Roman" w:hAnsi="Times New Roman" w:cs="Times New Roman"/>
        </w:rPr>
        <w:t xml:space="preserve"> – </w:t>
      </w:r>
      <w:r w:rsidR="0094370D" w:rsidRPr="0094370D">
        <w:rPr>
          <w:rFonts w:ascii="Times New Roman" w:hAnsi="Times New Roman" w:cs="Times New Roman"/>
        </w:rPr>
        <w:t>Em se tratando de aquisição ou locação de imóvel cujas características de instalações e de</w:t>
      </w:r>
      <w:r w:rsidR="0094370D">
        <w:rPr>
          <w:rFonts w:ascii="Times New Roman" w:hAnsi="Times New Roman" w:cs="Times New Roman"/>
        </w:rPr>
        <w:t xml:space="preserve"> </w:t>
      </w:r>
      <w:r w:rsidR="0094370D" w:rsidRPr="0094370D">
        <w:rPr>
          <w:rFonts w:ascii="Times New Roman" w:hAnsi="Times New Roman" w:cs="Times New Roman"/>
        </w:rPr>
        <w:t>localização tornem necessária sua escolha, nos termos do art. 74, inciso V, da Lei nº 14.133/2021, foram observados os seguintes requisitos (Lei nº 14.133/2021, art. 74, § 5º):</w:t>
      </w:r>
    </w:p>
    <w:p w14:paraId="69A24853" w14:textId="1391658B" w:rsidR="00EB387F" w:rsidRDefault="00EB387F" w:rsidP="00464CDD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(__) </w:t>
      </w:r>
      <w:r w:rsidR="0090057F" w:rsidRPr="0090057F">
        <w:rPr>
          <w:rFonts w:ascii="Times New Roman" w:hAnsi="Times New Roman" w:cs="Times New Roman"/>
        </w:rPr>
        <w:t>Avaliação prévia do bem, do seu estado de conservação, dos custos de adaptações, quando</w:t>
      </w:r>
      <w:r w:rsidR="0090057F">
        <w:rPr>
          <w:rFonts w:ascii="Times New Roman" w:hAnsi="Times New Roman" w:cs="Times New Roman"/>
        </w:rPr>
        <w:t xml:space="preserve"> </w:t>
      </w:r>
      <w:r w:rsidR="0090057F" w:rsidRPr="0090057F">
        <w:rPr>
          <w:rFonts w:ascii="Times New Roman" w:hAnsi="Times New Roman" w:cs="Times New Roman"/>
        </w:rPr>
        <w:t>imprescindíveis às necessidades de utilização, e do prazo de amortização dos investimentos</w:t>
      </w:r>
      <w:r w:rsidR="00751832">
        <w:rPr>
          <w:rFonts w:ascii="Times New Roman" w:hAnsi="Times New Roman" w:cs="Times New Roman"/>
        </w:rPr>
        <w:t xml:space="preserve"> </w:t>
      </w:r>
      <w:r w:rsidR="00751832" w:rsidRPr="00F75D4E">
        <w:rPr>
          <w:rFonts w:ascii="Times New Roman" w:hAnsi="Times New Roman" w:cs="Times New Roman"/>
        </w:rPr>
        <w:t xml:space="preserve">( </w:t>
      </w:r>
      <w:r w:rsidR="00751832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751832">
        <w:rPr>
          <w:rFonts w:ascii="Times New Roman" w:hAnsi="Times New Roman" w:cs="Times New Roman"/>
          <w:sz w:val="20"/>
          <w:szCs w:val="20"/>
        </w:rPr>
        <w:t>IPAC)</w:t>
      </w:r>
    </w:p>
    <w:p w14:paraId="0621A564" w14:textId="75D5EA31" w:rsidR="0090057F" w:rsidRDefault="0090057F" w:rsidP="00464CDD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(__) </w:t>
      </w:r>
      <w:r w:rsidRPr="0090057F">
        <w:rPr>
          <w:rFonts w:ascii="Times New Roman" w:hAnsi="Times New Roman" w:cs="Times New Roman"/>
        </w:rPr>
        <w:t>Certificação da inexistência de imóveis públicos vagos e disponíveis que atendam</w:t>
      </w:r>
      <w:r>
        <w:rPr>
          <w:rFonts w:ascii="Times New Roman" w:hAnsi="Times New Roman" w:cs="Times New Roman"/>
        </w:rPr>
        <w:t xml:space="preserve"> </w:t>
      </w:r>
      <w:r w:rsidRPr="0090057F">
        <w:rPr>
          <w:rFonts w:ascii="Times New Roman" w:hAnsi="Times New Roman" w:cs="Times New Roman"/>
        </w:rPr>
        <w:t>ao objeto</w:t>
      </w:r>
      <w:r w:rsidR="00751832">
        <w:rPr>
          <w:rFonts w:ascii="Times New Roman" w:hAnsi="Times New Roman" w:cs="Times New Roman"/>
        </w:rPr>
        <w:t xml:space="preserve"> </w:t>
      </w:r>
      <w:r w:rsidR="00751832" w:rsidRPr="00F75D4E">
        <w:rPr>
          <w:rFonts w:ascii="Times New Roman" w:hAnsi="Times New Roman" w:cs="Times New Roman"/>
        </w:rPr>
        <w:t xml:space="preserve">( </w:t>
      </w:r>
      <w:r w:rsidR="00751832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751832">
        <w:rPr>
          <w:rFonts w:ascii="Times New Roman" w:hAnsi="Times New Roman" w:cs="Times New Roman"/>
          <w:sz w:val="20"/>
          <w:szCs w:val="20"/>
        </w:rPr>
        <w:t>IPAC)</w:t>
      </w:r>
    </w:p>
    <w:p w14:paraId="5FB2B663" w14:textId="6910A125" w:rsidR="00751832" w:rsidRDefault="0090057F" w:rsidP="00751832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(__) </w:t>
      </w:r>
      <w:r w:rsidRPr="0090057F">
        <w:rPr>
          <w:rFonts w:ascii="Times New Roman" w:hAnsi="Times New Roman" w:cs="Times New Roman"/>
        </w:rPr>
        <w:t>Justificativas que demonstrem a singularidade do imóvel a ser comprado ou locado pela</w:t>
      </w:r>
      <w:r>
        <w:rPr>
          <w:rFonts w:ascii="Times New Roman" w:hAnsi="Times New Roman" w:cs="Times New Roman"/>
        </w:rPr>
        <w:t xml:space="preserve"> </w:t>
      </w:r>
      <w:r w:rsidRPr="0090057F">
        <w:rPr>
          <w:rFonts w:ascii="Times New Roman" w:hAnsi="Times New Roman" w:cs="Times New Roman"/>
        </w:rPr>
        <w:t>Administração e que evidenciem a vantagem para esta</w:t>
      </w:r>
      <w:r w:rsidR="00751832">
        <w:rPr>
          <w:rFonts w:ascii="Times New Roman" w:hAnsi="Times New Roman" w:cs="Times New Roman"/>
        </w:rPr>
        <w:t xml:space="preserve"> </w:t>
      </w:r>
      <w:r w:rsidR="00751832" w:rsidRPr="00F75D4E">
        <w:rPr>
          <w:rFonts w:ascii="Times New Roman" w:hAnsi="Times New Roman" w:cs="Times New Roman"/>
        </w:rPr>
        <w:t xml:space="preserve">( </w:t>
      </w:r>
      <w:r w:rsidR="00751832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751832">
        <w:rPr>
          <w:rFonts w:ascii="Times New Roman" w:hAnsi="Times New Roman" w:cs="Times New Roman"/>
          <w:sz w:val="20"/>
          <w:szCs w:val="20"/>
        </w:rPr>
        <w:t>IPAC)</w:t>
      </w:r>
    </w:p>
    <w:p w14:paraId="52FABBC0" w14:textId="77777777" w:rsidR="00751832" w:rsidRPr="00430450" w:rsidRDefault="00751832" w:rsidP="00751832">
      <w:pPr>
        <w:shd w:val="clear" w:color="auto" w:fill="D0CECE" w:themeFill="background2" w:themeFillShade="E6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30450">
        <w:rPr>
          <w:rFonts w:ascii="Times New Roman" w:hAnsi="Times New Roman" w:cs="Times New Roman"/>
          <w:sz w:val="20"/>
          <w:szCs w:val="20"/>
        </w:rPr>
        <w:t>Observação: Nesse caso, devem ser observados todos os requisitos acima</w:t>
      </w:r>
    </w:p>
    <w:p w14:paraId="63A76BA5" w14:textId="7E9F180E" w:rsidR="00751832" w:rsidRPr="00561941" w:rsidRDefault="00751832" w:rsidP="00561941">
      <w:pPr>
        <w:pStyle w:val="PargrafodaList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61941">
        <w:rPr>
          <w:rFonts w:ascii="Times New Roman" w:hAnsi="Times New Roman" w:cs="Times New Roman"/>
        </w:rPr>
        <w:t>Em se tratando de contratação de serviços nos termos do art. 74, caput, da Lei nº 14.133/2021, que não se enquadre nos incisos I a V do referido artigo, foi verificada a inviabilidade da competição</w:t>
      </w:r>
      <w:r w:rsidRPr="00561941">
        <w:rPr>
          <w:rFonts w:ascii="Times New Roman" w:hAnsi="Times New Roman" w:cs="Times New Roman"/>
        </w:rPr>
        <w:t xml:space="preserve"> </w:t>
      </w:r>
      <w:r w:rsidRPr="00561941">
        <w:rPr>
          <w:rFonts w:ascii="Times New Roman" w:hAnsi="Times New Roman" w:cs="Times New Roman"/>
        </w:rPr>
        <w:t>por meio de:</w:t>
      </w:r>
    </w:p>
    <w:p w14:paraId="743269B2" w14:textId="57CDE716" w:rsidR="00751832" w:rsidRDefault="00751832" w:rsidP="0075183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(__) </w:t>
      </w:r>
      <w:r w:rsidRPr="00751832">
        <w:rPr>
          <w:rFonts w:ascii="Times New Roman" w:hAnsi="Times New Roman" w:cs="Times New Roman"/>
        </w:rPr>
        <w:t>Documento de aceite para apresentação de trabalhos em Congressos, Conferências, Feiras ou</w:t>
      </w:r>
      <w:r>
        <w:rPr>
          <w:rFonts w:ascii="Times New Roman" w:hAnsi="Times New Roman" w:cs="Times New Roman"/>
        </w:rPr>
        <w:t xml:space="preserve"> </w:t>
      </w:r>
      <w:r w:rsidRPr="00751832">
        <w:rPr>
          <w:rFonts w:ascii="Times New Roman" w:hAnsi="Times New Roman" w:cs="Times New Roman"/>
        </w:rPr>
        <w:t>outros eventos técnicos/científicos</w:t>
      </w:r>
      <w:r w:rsidR="00C40029">
        <w:rPr>
          <w:rFonts w:ascii="Times New Roman" w:hAnsi="Times New Roman" w:cs="Times New Roman"/>
        </w:rPr>
        <w:t xml:space="preserve"> </w:t>
      </w:r>
      <w:r w:rsidR="00C40029" w:rsidRPr="00F75D4E">
        <w:rPr>
          <w:rFonts w:ascii="Times New Roman" w:hAnsi="Times New Roman" w:cs="Times New Roman"/>
        </w:rPr>
        <w:t xml:space="preserve">( </w:t>
      </w:r>
      <w:r w:rsidR="00C40029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C40029">
        <w:rPr>
          <w:rFonts w:ascii="Times New Roman" w:hAnsi="Times New Roman" w:cs="Times New Roman"/>
          <w:sz w:val="20"/>
          <w:szCs w:val="20"/>
        </w:rPr>
        <w:t>IPAC)</w:t>
      </w:r>
    </w:p>
    <w:p w14:paraId="337E06FC" w14:textId="6DA3387D" w:rsidR="00C40029" w:rsidRDefault="00C40029" w:rsidP="00751832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(__) </w:t>
      </w:r>
      <w:r w:rsidRPr="00C40029">
        <w:rPr>
          <w:rFonts w:ascii="Times New Roman" w:hAnsi="Times New Roman" w:cs="Times New Roman"/>
        </w:rPr>
        <w:t>Currículo do(s) profissional(is)</w:t>
      </w:r>
      <w:r>
        <w:rPr>
          <w:rFonts w:ascii="Times New Roman" w:hAnsi="Times New Roman" w:cs="Times New Roman"/>
        </w:rPr>
        <w:t xml:space="preserve"> </w:t>
      </w:r>
      <w:r w:rsidR="007A1B24" w:rsidRPr="00F75D4E">
        <w:rPr>
          <w:rFonts w:ascii="Times New Roman" w:hAnsi="Times New Roman" w:cs="Times New Roman"/>
        </w:rPr>
        <w:t xml:space="preserve">( </w:t>
      </w:r>
      <w:r w:rsidR="007A1B24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7A1B24">
        <w:rPr>
          <w:rFonts w:ascii="Times New Roman" w:hAnsi="Times New Roman" w:cs="Times New Roman"/>
          <w:sz w:val="20"/>
          <w:szCs w:val="20"/>
        </w:rPr>
        <w:t>IPAC)</w:t>
      </w:r>
    </w:p>
    <w:p w14:paraId="44C18CF6" w14:textId="0F7665F9" w:rsidR="00C40029" w:rsidRDefault="00C40029" w:rsidP="00751832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(__) </w:t>
      </w:r>
      <w:r w:rsidRPr="00C40029">
        <w:rPr>
          <w:rFonts w:ascii="Times New Roman" w:hAnsi="Times New Roman" w:cs="Times New Roman"/>
        </w:rPr>
        <w:t>Comprovação de estrutura e/ou equipe técnica</w:t>
      </w:r>
      <w:r w:rsidR="007A1B24">
        <w:rPr>
          <w:rFonts w:ascii="Times New Roman" w:hAnsi="Times New Roman" w:cs="Times New Roman"/>
        </w:rPr>
        <w:t xml:space="preserve"> </w:t>
      </w:r>
      <w:r w:rsidR="007A1B24" w:rsidRPr="00F75D4E">
        <w:rPr>
          <w:rFonts w:ascii="Times New Roman" w:hAnsi="Times New Roman" w:cs="Times New Roman"/>
        </w:rPr>
        <w:t xml:space="preserve">( </w:t>
      </w:r>
      <w:r w:rsidR="007A1B24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7A1B24">
        <w:rPr>
          <w:rFonts w:ascii="Times New Roman" w:hAnsi="Times New Roman" w:cs="Times New Roman"/>
          <w:sz w:val="20"/>
          <w:szCs w:val="20"/>
        </w:rPr>
        <w:t>IPAC)</w:t>
      </w:r>
    </w:p>
    <w:p w14:paraId="76DD9FF8" w14:textId="53A40D0D" w:rsidR="00C40029" w:rsidRDefault="00C40029" w:rsidP="0075183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(__) </w:t>
      </w:r>
      <w:r w:rsidRPr="00C40029">
        <w:rPr>
          <w:rFonts w:ascii="Times New Roman" w:hAnsi="Times New Roman" w:cs="Times New Roman"/>
        </w:rPr>
        <w:t>Outros meios: (especificar)</w:t>
      </w:r>
      <w:r>
        <w:rPr>
          <w:rFonts w:ascii="Times New Roman" w:hAnsi="Times New Roman" w:cs="Times New Roman"/>
        </w:rPr>
        <w:t xml:space="preserve"> </w:t>
      </w:r>
      <w:r w:rsidR="007A1B24" w:rsidRPr="00F75D4E">
        <w:rPr>
          <w:rFonts w:ascii="Times New Roman" w:hAnsi="Times New Roman" w:cs="Times New Roman"/>
        </w:rPr>
        <w:t xml:space="preserve">( </w:t>
      </w:r>
      <w:r w:rsidR="007A1B24" w:rsidRPr="006E26AA">
        <w:rPr>
          <w:rFonts w:ascii="Times New Roman" w:hAnsi="Times New Roman" w:cs="Times New Roman"/>
          <w:sz w:val="20"/>
          <w:szCs w:val="20"/>
        </w:rPr>
        <w:t>informar nº S</w:t>
      </w:r>
      <w:r w:rsidR="007A1B24">
        <w:rPr>
          <w:rFonts w:ascii="Times New Roman" w:hAnsi="Times New Roman" w:cs="Times New Roman"/>
          <w:sz w:val="20"/>
          <w:szCs w:val="20"/>
        </w:rPr>
        <w:t>IPAC)</w:t>
      </w:r>
    </w:p>
    <w:p w14:paraId="2DD600B8" w14:textId="77777777" w:rsidR="005639F4" w:rsidRDefault="005639F4" w:rsidP="0075183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FF91461" w14:textId="77777777" w:rsidR="005639F4" w:rsidRDefault="005639F4" w:rsidP="0075183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0E988D" w14:textId="736E08C1" w:rsidR="005639F4" w:rsidRDefault="005639F4" w:rsidP="005639F4">
      <w:pPr>
        <w:ind w:lef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Juazeiro do Norte</w:t>
      </w:r>
      <w:r w:rsidR="003628BD">
        <w:rPr>
          <w:rFonts w:ascii="Times New Roman" w:hAnsi="Times New Roman"/>
        </w:rPr>
        <w:t xml:space="preserve"> - CE</w:t>
      </w:r>
      <w:r>
        <w:rPr>
          <w:rFonts w:ascii="Times New Roman" w:hAnsi="Times New Roman"/>
        </w:rPr>
        <w:t>, _____ de _____________ de ________</w:t>
      </w:r>
    </w:p>
    <w:p w14:paraId="41C9BC41" w14:textId="77777777" w:rsidR="005639F4" w:rsidRPr="00751832" w:rsidRDefault="005639F4" w:rsidP="0075183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CFAE5E3" w14:textId="77777777" w:rsidR="00751832" w:rsidRDefault="00751832" w:rsidP="0075183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639F4" w14:paraId="544ABED8" w14:textId="77777777" w:rsidTr="00B653E3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0EB3" w14:textId="77777777" w:rsidR="005639F4" w:rsidRDefault="005639F4" w:rsidP="005639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14:paraId="1A47B981" w14:textId="77777777" w:rsidR="005639F4" w:rsidRDefault="005639F4" w:rsidP="005639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407C" w14:textId="77777777" w:rsidR="005639F4" w:rsidRDefault="005639F4" w:rsidP="005639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5639F4" w14:paraId="5BDBB939" w14:textId="77777777" w:rsidTr="00B653E3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5097" w14:textId="77777777" w:rsidR="005639F4" w:rsidRDefault="005639F4" w:rsidP="005639F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Servidor(a) responsável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8ED1" w14:textId="77777777" w:rsidR="005639F4" w:rsidRDefault="005639F4" w:rsidP="005639F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Servidor(a) responsável</w:t>
            </w:r>
          </w:p>
        </w:tc>
      </w:tr>
      <w:tr w:rsidR="005639F4" w14:paraId="19DB7690" w14:textId="77777777" w:rsidTr="00B653E3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3C3A" w14:textId="77777777" w:rsidR="005639F4" w:rsidRDefault="005639F4" w:rsidP="005639F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109373CD" w14:textId="77777777" w:rsidR="005639F4" w:rsidRDefault="005639F4" w:rsidP="005639F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3BDE" w14:textId="77777777" w:rsidR="005639F4" w:rsidRDefault="005639F4" w:rsidP="00563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639F4" w14:paraId="66CFC8FE" w14:textId="77777777" w:rsidTr="00B653E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2DA9" w14:textId="77777777" w:rsidR="005639F4" w:rsidRDefault="005639F4" w:rsidP="005639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6BC45A79" w14:textId="77777777" w:rsidR="005639F4" w:rsidRDefault="005639F4" w:rsidP="005639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9F4" w14:paraId="67458418" w14:textId="77777777" w:rsidTr="00B653E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ADFC" w14:textId="77777777" w:rsidR="005639F4" w:rsidRDefault="005639F4" w:rsidP="005639F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Chefia Imediata </w:t>
            </w:r>
          </w:p>
        </w:tc>
      </w:tr>
    </w:tbl>
    <w:p w14:paraId="720BF47C" w14:textId="77777777" w:rsidR="00751832" w:rsidRDefault="00751832" w:rsidP="001E5DF7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51832" w:rsidSect="004F5C0F">
      <w:headerReference w:type="default" r:id="rId7"/>
      <w:pgSz w:w="11906" w:h="16838"/>
      <w:pgMar w:top="110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56E0" w14:textId="77777777" w:rsidR="009D6B06" w:rsidRDefault="009D6B06" w:rsidP="00802699">
      <w:pPr>
        <w:spacing w:after="0" w:line="240" w:lineRule="auto"/>
      </w:pPr>
      <w:r>
        <w:separator/>
      </w:r>
    </w:p>
  </w:endnote>
  <w:endnote w:type="continuationSeparator" w:id="0">
    <w:p w14:paraId="6064CDDA" w14:textId="77777777" w:rsidR="009D6B06" w:rsidRDefault="009D6B06" w:rsidP="008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7206" w14:textId="77777777" w:rsidR="009D6B06" w:rsidRDefault="009D6B06" w:rsidP="00802699">
      <w:pPr>
        <w:spacing w:after="0" w:line="240" w:lineRule="auto"/>
      </w:pPr>
      <w:r>
        <w:separator/>
      </w:r>
    </w:p>
  </w:footnote>
  <w:footnote w:type="continuationSeparator" w:id="0">
    <w:p w14:paraId="547BE725" w14:textId="77777777" w:rsidR="009D6B06" w:rsidRDefault="009D6B06" w:rsidP="0080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7" w:type="dxa"/>
      <w:tblInd w:w="-31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13"/>
      <w:gridCol w:w="3969"/>
      <w:gridCol w:w="2765"/>
    </w:tblGrid>
    <w:tr w:rsidR="004F5C0F" w14:paraId="0F6E0DB2" w14:textId="77777777" w:rsidTr="00B653E3">
      <w:tblPrEx>
        <w:tblCellMar>
          <w:top w:w="0" w:type="dxa"/>
          <w:bottom w:w="0" w:type="dxa"/>
        </w:tblCellMar>
      </w:tblPrEx>
      <w:trPr>
        <w:cantSplit/>
        <w:trHeight w:val="37"/>
      </w:trPr>
      <w:tc>
        <w:tcPr>
          <w:tcW w:w="271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3BAD11" w14:textId="4C2D80DD" w:rsidR="004F5C0F" w:rsidRPr="004F5C0F" w:rsidRDefault="004F5C0F" w:rsidP="004F5C0F">
          <w:pPr>
            <w:rPr>
              <w:sz w:val="18"/>
              <w:szCs w:val="18"/>
            </w:rPr>
          </w:pPr>
          <w:bookmarkStart w:id="1" w:name="_Hlk522286814"/>
          <w:r w:rsidRPr="00B33F8E">
            <w:rPr>
              <w:rFonts w:ascii="Calibri" w:eastAsia="Calibri" w:hAnsi="Calibri" w:cs="Calibri"/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5053ABDF" wp14:editId="146B7A32">
                <wp:simplePos x="0" y="0"/>
                <wp:positionH relativeFrom="column">
                  <wp:posOffset>-375285</wp:posOffset>
                </wp:positionH>
                <wp:positionV relativeFrom="paragraph">
                  <wp:posOffset>-173990</wp:posOffset>
                </wp:positionV>
                <wp:extent cx="2076450" cy="1228725"/>
                <wp:effectExtent l="0" t="0" r="0" b="0"/>
                <wp:wrapNone/>
                <wp:docPr id="466241459" name="Imagem 3" descr="UFCA+PROAD RV_tran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tcBorders>
            <w:top w:val="doub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6B2CBB" w14:textId="77777777" w:rsidR="004F5C0F" w:rsidRPr="004F5C0F" w:rsidRDefault="004F5C0F" w:rsidP="004F5C0F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F5C0F">
            <w:rPr>
              <w:rFonts w:ascii="Times New Roman" w:hAnsi="Times New Roman"/>
              <w:b/>
              <w:sz w:val="18"/>
              <w:szCs w:val="18"/>
            </w:rPr>
            <w:t>TERMO DE RESPONSABILIDADE SOBRE PESQUISAS DE PREÇOS</w:t>
          </w:r>
        </w:p>
      </w:tc>
      <w:tc>
        <w:tcPr>
          <w:tcW w:w="276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9FEDAF" w14:textId="77777777" w:rsidR="004F5C0F" w:rsidRPr="004F5C0F" w:rsidRDefault="004F5C0F" w:rsidP="004F5C0F">
          <w:pPr>
            <w:spacing w:line="240" w:lineRule="auto"/>
            <w:jc w:val="center"/>
            <w:rPr>
              <w:sz w:val="16"/>
              <w:szCs w:val="16"/>
            </w:rPr>
          </w:pP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t>Formulário</w:t>
          </w:r>
        </w:p>
      </w:tc>
    </w:tr>
    <w:tr w:rsidR="004F5C0F" w14:paraId="21CC49F3" w14:textId="77777777" w:rsidTr="004F5C0F">
      <w:tblPrEx>
        <w:tblCellMar>
          <w:top w:w="0" w:type="dxa"/>
          <w:bottom w:w="0" w:type="dxa"/>
        </w:tblCellMar>
      </w:tblPrEx>
      <w:trPr>
        <w:cantSplit/>
        <w:trHeight w:val="254"/>
      </w:trPr>
      <w:tc>
        <w:tcPr>
          <w:tcW w:w="271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102535" w14:textId="77777777" w:rsidR="004F5C0F" w:rsidRPr="004F5C0F" w:rsidRDefault="004F5C0F" w:rsidP="004F5C0F">
          <w:pPr>
            <w:snapToGrid w:val="0"/>
            <w:ind w:left="142"/>
            <w:rPr>
              <w:rFonts w:ascii="Calibri" w:eastAsia="Calibri" w:hAnsi="Calibri" w:cs="Calibri"/>
              <w:b/>
              <w:sz w:val="18"/>
              <w:szCs w:val="18"/>
            </w:rPr>
          </w:pPr>
        </w:p>
      </w:tc>
      <w:tc>
        <w:tcPr>
          <w:tcW w:w="3969" w:type="dxa"/>
          <w:vMerge/>
          <w:tcBorders>
            <w:top w:val="doub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7016ED" w14:textId="77777777" w:rsidR="004F5C0F" w:rsidRPr="004F5C0F" w:rsidRDefault="004F5C0F" w:rsidP="004F5C0F">
          <w:pPr>
            <w:snapToGrid w:val="0"/>
            <w:jc w:val="center"/>
            <w:rPr>
              <w:rFonts w:ascii="Times New Roman" w:eastAsia="Calibri" w:hAnsi="Times New Roman"/>
              <w:b/>
              <w:bCs/>
              <w:sz w:val="18"/>
              <w:szCs w:val="18"/>
            </w:rPr>
          </w:pPr>
        </w:p>
      </w:tc>
      <w:tc>
        <w:tcPr>
          <w:tcW w:w="2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2C768A" w14:textId="377564AA" w:rsidR="004F5C0F" w:rsidRPr="004F5C0F" w:rsidRDefault="004F5C0F" w:rsidP="004F5C0F">
          <w:pPr>
            <w:spacing w:line="240" w:lineRule="auto"/>
            <w:rPr>
              <w:sz w:val="16"/>
              <w:szCs w:val="16"/>
            </w:rPr>
          </w:pP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t>Identificação: FR.0</w:t>
          </w:r>
          <w:r w:rsidR="00F15BF9">
            <w:rPr>
              <w:rFonts w:ascii="Times New Roman" w:eastAsia="Calibri" w:hAnsi="Times New Roman"/>
              <w:b/>
              <w:sz w:val="16"/>
              <w:szCs w:val="16"/>
            </w:rPr>
            <w:t>2</w:t>
          </w:r>
        </w:p>
      </w:tc>
    </w:tr>
    <w:tr w:rsidR="004F5C0F" w14:paraId="79189831" w14:textId="77777777" w:rsidTr="004F5C0F">
      <w:tblPrEx>
        <w:tblCellMar>
          <w:top w:w="0" w:type="dxa"/>
          <w:bottom w:w="0" w:type="dxa"/>
        </w:tblCellMar>
      </w:tblPrEx>
      <w:trPr>
        <w:cantSplit/>
        <w:trHeight w:val="457"/>
      </w:trPr>
      <w:tc>
        <w:tcPr>
          <w:tcW w:w="271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3DC380" w14:textId="77777777" w:rsidR="004F5C0F" w:rsidRPr="004F5C0F" w:rsidRDefault="004F5C0F" w:rsidP="004F5C0F">
          <w:pPr>
            <w:snapToGrid w:val="0"/>
            <w:ind w:left="142"/>
            <w:rPr>
              <w:rFonts w:ascii="Calibri" w:eastAsia="Calibri" w:hAnsi="Calibri" w:cs="Calibri"/>
              <w:b/>
              <w:sz w:val="18"/>
              <w:szCs w:val="18"/>
            </w:rPr>
          </w:pPr>
        </w:p>
      </w:tc>
      <w:tc>
        <w:tcPr>
          <w:tcW w:w="3969" w:type="dxa"/>
          <w:vMerge/>
          <w:tcBorders>
            <w:top w:val="doub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81CAC6" w14:textId="77777777" w:rsidR="004F5C0F" w:rsidRPr="004F5C0F" w:rsidRDefault="004F5C0F" w:rsidP="004F5C0F">
          <w:pPr>
            <w:snapToGrid w:val="0"/>
            <w:jc w:val="center"/>
            <w:rPr>
              <w:rFonts w:ascii="Times New Roman" w:eastAsia="Calibri" w:hAnsi="Times New Roman"/>
              <w:b/>
              <w:bCs/>
              <w:sz w:val="18"/>
              <w:szCs w:val="18"/>
            </w:rPr>
          </w:pPr>
        </w:p>
      </w:tc>
      <w:tc>
        <w:tcPr>
          <w:tcW w:w="2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4CD1C8" w14:textId="77777777" w:rsidR="004F5C0F" w:rsidRPr="004F5C0F" w:rsidRDefault="004F5C0F" w:rsidP="004F5C0F">
          <w:pPr>
            <w:spacing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4F5C0F">
            <w:rPr>
              <w:rFonts w:ascii="Times New Roman" w:hAnsi="Times New Roman"/>
              <w:b/>
              <w:sz w:val="16"/>
              <w:szCs w:val="16"/>
            </w:rPr>
            <w:t>Responsável:</w:t>
          </w:r>
          <w:r w:rsidRPr="004F5C0F">
            <w:rPr>
              <w:rFonts w:ascii="Times New Roman" w:hAnsi="Times New Roman"/>
              <w:b/>
              <w:sz w:val="16"/>
              <w:szCs w:val="16"/>
            </w:rPr>
            <w:br/>
            <w:t>Coordenadoria de Apoio às Compras</w:t>
          </w:r>
        </w:p>
      </w:tc>
    </w:tr>
    <w:tr w:rsidR="004F5C0F" w14:paraId="2C8EB24A" w14:textId="77777777" w:rsidTr="004F5C0F">
      <w:tblPrEx>
        <w:tblCellMar>
          <w:top w:w="0" w:type="dxa"/>
          <w:bottom w:w="0" w:type="dxa"/>
        </w:tblCellMar>
      </w:tblPrEx>
      <w:trPr>
        <w:cantSplit/>
        <w:trHeight w:val="282"/>
      </w:trPr>
      <w:tc>
        <w:tcPr>
          <w:tcW w:w="271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9390A4" w14:textId="77777777" w:rsidR="004F5C0F" w:rsidRPr="004F5C0F" w:rsidRDefault="004F5C0F" w:rsidP="004F5C0F">
          <w:pPr>
            <w:snapToGrid w:val="0"/>
            <w:ind w:left="142"/>
            <w:rPr>
              <w:rFonts w:ascii="Calibri" w:eastAsia="Calibri" w:hAnsi="Calibri" w:cs="Calibri"/>
              <w:b/>
              <w:sz w:val="18"/>
              <w:szCs w:val="18"/>
            </w:rPr>
          </w:pPr>
        </w:p>
      </w:tc>
      <w:tc>
        <w:tcPr>
          <w:tcW w:w="3969" w:type="dxa"/>
          <w:vMerge/>
          <w:tcBorders>
            <w:top w:val="doub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20B6FA" w14:textId="77777777" w:rsidR="004F5C0F" w:rsidRPr="004F5C0F" w:rsidRDefault="004F5C0F" w:rsidP="004F5C0F">
          <w:pPr>
            <w:snapToGrid w:val="0"/>
            <w:jc w:val="center"/>
            <w:rPr>
              <w:rFonts w:ascii="Times New Roman" w:eastAsia="Calibri" w:hAnsi="Times New Roman"/>
              <w:b/>
              <w:bCs/>
              <w:sz w:val="18"/>
              <w:szCs w:val="18"/>
            </w:rPr>
          </w:pPr>
        </w:p>
      </w:tc>
      <w:tc>
        <w:tcPr>
          <w:tcW w:w="2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184EAA" w14:textId="767ED6FF" w:rsidR="004F5C0F" w:rsidRPr="004F5C0F" w:rsidRDefault="004F5C0F" w:rsidP="004F5C0F">
          <w:pPr>
            <w:spacing w:line="240" w:lineRule="auto"/>
            <w:rPr>
              <w:sz w:val="16"/>
              <w:szCs w:val="16"/>
            </w:rPr>
          </w:pP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t>Versão: 0</w:t>
          </w:r>
          <w:r w:rsidR="00F15BF9">
            <w:rPr>
              <w:rFonts w:ascii="Times New Roman" w:eastAsia="Calibri" w:hAnsi="Times New Roman"/>
              <w:b/>
              <w:sz w:val="16"/>
              <w:szCs w:val="16"/>
            </w:rPr>
            <w:t>2</w:t>
          </w: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t xml:space="preserve"> – 14.133/2021</w:t>
          </w:r>
        </w:p>
      </w:tc>
    </w:tr>
    <w:tr w:rsidR="004F5C0F" w14:paraId="3F8DCA48" w14:textId="77777777" w:rsidTr="004F5C0F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271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5A9540" w14:textId="77777777" w:rsidR="004F5C0F" w:rsidRPr="004F5C0F" w:rsidRDefault="004F5C0F" w:rsidP="004F5C0F">
          <w:pPr>
            <w:snapToGrid w:val="0"/>
            <w:ind w:left="142"/>
            <w:rPr>
              <w:rFonts w:ascii="Calibri" w:eastAsia="Calibri" w:hAnsi="Calibri" w:cs="Calibri"/>
              <w:b/>
              <w:sz w:val="18"/>
              <w:szCs w:val="18"/>
            </w:rPr>
          </w:pPr>
        </w:p>
      </w:tc>
      <w:tc>
        <w:tcPr>
          <w:tcW w:w="3969" w:type="dxa"/>
          <w:vMerge/>
          <w:tcBorders>
            <w:top w:val="doub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1CA652" w14:textId="77777777" w:rsidR="004F5C0F" w:rsidRPr="004F5C0F" w:rsidRDefault="004F5C0F" w:rsidP="004F5C0F">
          <w:pPr>
            <w:snapToGrid w:val="0"/>
            <w:jc w:val="center"/>
            <w:rPr>
              <w:rFonts w:ascii="Times New Roman" w:eastAsia="Calibri" w:hAnsi="Times New Roman"/>
              <w:b/>
              <w:bCs/>
              <w:sz w:val="18"/>
              <w:szCs w:val="18"/>
            </w:rPr>
          </w:pPr>
        </w:p>
      </w:tc>
      <w:tc>
        <w:tcPr>
          <w:tcW w:w="2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256B30" w14:textId="6F45A381" w:rsidR="004F5C0F" w:rsidRPr="004F5C0F" w:rsidRDefault="004F5C0F" w:rsidP="004F5C0F">
          <w:pPr>
            <w:spacing w:line="240" w:lineRule="auto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t>Data da Versão: 1</w:t>
          </w:r>
          <w:r w:rsidR="00F15BF9">
            <w:rPr>
              <w:rFonts w:ascii="Times New Roman" w:eastAsia="Calibri" w:hAnsi="Times New Roman"/>
              <w:b/>
              <w:sz w:val="16"/>
              <w:szCs w:val="16"/>
            </w:rPr>
            <w:t>1</w:t>
          </w: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t>/07/2023</w:t>
          </w:r>
        </w:p>
      </w:tc>
    </w:tr>
    <w:tr w:rsidR="004F5C0F" w14:paraId="228BE91B" w14:textId="77777777" w:rsidTr="004F5C0F">
      <w:tblPrEx>
        <w:tblCellMar>
          <w:top w:w="0" w:type="dxa"/>
          <w:bottom w:w="0" w:type="dxa"/>
        </w:tblCellMar>
      </w:tblPrEx>
      <w:trPr>
        <w:cantSplit/>
        <w:trHeight w:val="319"/>
      </w:trPr>
      <w:tc>
        <w:tcPr>
          <w:tcW w:w="271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960EB0" w14:textId="77777777" w:rsidR="004F5C0F" w:rsidRPr="004F5C0F" w:rsidRDefault="004F5C0F" w:rsidP="004F5C0F">
          <w:pPr>
            <w:snapToGrid w:val="0"/>
            <w:ind w:left="142"/>
            <w:rPr>
              <w:rFonts w:ascii="Calibri" w:eastAsia="Calibri" w:hAnsi="Calibri" w:cs="Calibri"/>
              <w:b/>
              <w:sz w:val="18"/>
              <w:szCs w:val="18"/>
            </w:rPr>
          </w:pPr>
        </w:p>
      </w:tc>
      <w:tc>
        <w:tcPr>
          <w:tcW w:w="3969" w:type="dxa"/>
          <w:vMerge/>
          <w:tcBorders>
            <w:top w:val="doub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BE4A4F" w14:textId="77777777" w:rsidR="004F5C0F" w:rsidRPr="004F5C0F" w:rsidRDefault="004F5C0F" w:rsidP="004F5C0F">
          <w:pPr>
            <w:snapToGrid w:val="0"/>
            <w:jc w:val="center"/>
            <w:rPr>
              <w:rFonts w:ascii="Times New Roman" w:eastAsia="Calibri" w:hAnsi="Times New Roman"/>
              <w:b/>
              <w:bCs/>
              <w:sz w:val="18"/>
              <w:szCs w:val="18"/>
            </w:rPr>
          </w:pPr>
        </w:p>
      </w:tc>
      <w:tc>
        <w:tcPr>
          <w:tcW w:w="2765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358067" w14:textId="77777777" w:rsidR="004F5C0F" w:rsidRPr="004F5C0F" w:rsidRDefault="004F5C0F" w:rsidP="004F5C0F">
          <w:pPr>
            <w:spacing w:line="240" w:lineRule="auto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t xml:space="preserve">Elaboração: </w:t>
          </w:r>
          <w:r w:rsidRPr="004F5C0F">
            <w:rPr>
              <w:rFonts w:ascii="Times New Roman" w:eastAsia="Calibri" w:hAnsi="Times New Roman"/>
              <w:b/>
              <w:sz w:val="16"/>
              <w:szCs w:val="16"/>
            </w:rPr>
            <w:br/>
            <w:t>Coordenadoria Executiva - PROAD</w:t>
          </w:r>
        </w:p>
      </w:tc>
    </w:tr>
    <w:bookmarkEnd w:id="1"/>
  </w:tbl>
  <w:p w14:paraId="74C52936" w14:textId="31FCD96A" w:rsidR="004F5C0F" w:rsidRDefault="004F5C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55B"/>
    <w:multiLevelType w:val="hybridMultilevel"/>
    <w:tmpl w:val="D77AF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3185"/>
    <w:multiLevelType w:val="hybridMultilevel"/>
    <w:tmpl w:val="BD5E6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561"/>
    <w:multiLevelType w:val="multilevel"/>
    <w:tmpl w:val="AD308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925B49"/>
    <w:multiLevelType w:val="hybridMultilevel"/>
    <w:tmpl w:val="2E2CA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3E14"/>
    <w:multiLevelType w:val="hybridMultilevel"/>
    <w:tmpl w:val="8D5A33C6"/>
    <w:lvl w:ilvl="0" w:tplc="4C968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2A57"/>
    <w:multiLevelType w:val="multilevel"/>
    <w:tmpl w:val="8DDA7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F767B48"/>
    <w:multiLevelType w:val="hybridMultilevel"/>
    <w:tmpl w:val="7C66D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4B28"/>
    <w:multiLevelType w:val="hybridMultilevel"/>
    <w:tmpl w:val="1D7A4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21366">
    <w:abstractNumId w:val="7"/>
  </w:num>
  <w:num w:numId="2" w16cid:durableId="1562785974">
    <w:abstractNumId w:val="6"/>
  </w:num>
  <w:num w:numId="3" w16cid:durableId="719863760">
    <w:abstractNumId w:val="5"/>
  </w:num>
  <w:num w:numId="4" w16cid:durableId="1055812096">
    <w:abstractNumId w:val="4"/>
  </w:num>
  <w:num w:numId="5" w16cid:durableId="872233958">
    <w:abstractNumId w:val="1"/>
  </w:num>
  <w:num w:numId="6" w16cid:durableId="117651436">
    <w:abstractNumId w:val="0"/>
  </w:num>
  <w:num w:numId="7" w16cid:durableId="1364555217">
    <w:abstractNumId w:val="3"/>
  </w:num>
  <w:num w:numId="8" w16cid:durableId="2129083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99"/>
    <w:rsid w:val="00007649"/>
    <w:rsid w:val="00057F38"/>
    <w:rsid w:val="00095216"/>
    <w:rsid w:val="000D4041"/>
    <w:rsid w:val="00104E82"/>
    <w:rsid w:val="00175235"/>
    <w:rsid w:val="001A522C"/>
    <w:rsid w:val="001E5DF7"/>
    <w:rsid w:val="00272BAD"/>
    <w:rsid w:val="003628BD"/>
    <w:rsid w:val="004156E5"/>
    <w:rsid w:val="00430450"/>
    <w:rsid w:val="00464CDD"/>
    <w:rsid w:val="004F5C0F"/>
    <w:rsid w:val="00502DBA"/>
    <w:rsid w:val="00561941"/>
    <w:rsid w:val="005639F4"/>
    <w:rsid w:val="005871D4"/>
    <w:rsid w:val="005F4200"/>
    <w:rsid w:val="005F5014"/>
    <w:rsid w:val="00675D45"/>
    <w:rsid w:val="006E26AA"/>
    <w:rsid w:val="006E53DA"/>
    <w:rsid w:val="00751832"/>
    <w:rsid w:val="007939D2"/>
    <w:rsid w:val="007A1B24"/>
    <w:rsid w:val="00802699"/>
    <w:rsid w:val="00890062"/>
    <w:rsid w:val="0090057F"/>
    <w:rsid w:val="0094370D"/>
    <w:rsid w:val="009D6B06"/>
    <w:rsid w:val="009F2270"/>
    <w:rsid w:val="00A12967"/>
    <w:rsid w:val="00A32CAE"/>
    <w:rsid w:val="00A3451E"/>
    <w:rsid w:val="00B323EA"/>
    <w:rsid w:val="00B367B2"/>
    <w:rsid w:val="00BC7891"/>
    <w:rsid w:val="00C40029"/>
    <w:rsid w:val="00CB6A58"/>
    <w:rsid w:val="00D62F5F"/>
    <w:rsid w:val="00DC6B15"/>
    <w:rsid w:val="00E2689C"/>
    <w:rsid w:val="00E8310B"/>
    <w:rsid w:val="00EB387F"/>
    <w:rsid w:val="00F13A60"/>
    <w:rsid w:val="00F15BF9"/>
    <w:rsid w:val="00F16DC3"/>
    <w:rsid w:val="00F268AD"/>
    <w:rsid w:val="00F75D4E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57ED7"/>
  <w15:chartTrackingRefBased/>
  <w15:docId w15:val="{13B6BF85-17E3-4649-8599-265CD9F5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semiHidden/>
    <w:unhideWhenUsed/>
    <w:rsid w:val="005871D4"/>
    <w:pPr>
      <w:spacing w:after="0" w:line="360" w:lineRule="auto"/>
    </w:pPr>
    <w:rPr>
      <w:rFonts w:ascii="Times New Roman" w:eastAsia="Arial" w:hAnsi="Times New Roman" w:cs="Arial"/>
      <w:kern w:val="0"/>
      <w:sz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0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699"/>
  </w:style>
  <w:style w:type="paragraph" w:styleId="Rodap">
    <w:name w:val="footer"/>
    <w:basedOn w:val="Normal"/>
    <w:link w:val="RodapChar"/>
    <w:uiPriority w:val="99"/>
    <w:unhideWhenUsed/>
    <w:rsid w:val="0080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699"/>
  </w:style>
  <w:style w:type="table" w:customStyle="1" w:styleId="TableNormal">
    <w:name w:val="Table Normal"/>
    <w:uiPriority w:val="2"/>
    <w:semiHidden/>
    <w:unhideWhenUsed/>
    <w:qFormat/>
    <w:rsid w:val="0080269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2699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80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Botelho</dc:creator>
  <cp:keywords/>
  <dc:description/>
  <cp:lastModifiedBy>Rafael Botelho</cp:lastModifiedBy>
  <cp:revision>183</cp:revision>
  <dcterms:created xsi:type="dcterms:W3CDTF">2023-07-10T19:16:00Z</dcterms:created>
  <dcterms:modified xsi:type="dcterms:W3CDTF">2023-07-12T14:46:00Z</dcterms:modified>
</cp:coreProperties>
</file>